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4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4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0"/>
        </w:numPr>
        <w:tabs>
          <w:tab w:val="clear" w:pos="708"/>
          <w:tab w:val="left" w:pos="432" w:leader="none"/>
        </w:tabs>
        <w:spacing w:before="240" w:after="0"/>
        <w:ind w:hanging="0" w:start="0" w:end="5"/>
        <w:jc w:val="start"/>
        <w:rPr>
          <w:rFonts w:ascii="Tahoma" w:hAnsi="Tahoma"/>
          <w:color w:val="000000"/>
          <w:sz w:val="20"/>
          <w:szCs w:val="20"/>
        </w:rPr>
      </w:pPr>
      <w:bookmarkStart w:id="0" w:name="_Hlk97286785_kopia_1"/>
      <w:bookmarkEnd w:id="0"/>
      <w:r>
        <w:rPr>
          <w:rFonts w:ascii="Tahoma" w:hAnsi="Tahoma"/>
          <w:b/>
          <w:bCs/>
          <w:i/>
          <w:iCs/>
          <w:color w:val="000000"/>
          <w:sz w:val="20"/>
          <w:szCs w:val="20"/>
        </w:rPr>
        <w:t>Znak sprawy; ZP/5/PN/26                                                                                                                                                     Załącznik nr 1.1 do SWZ</w:t>
      </w:r>
    </w:p>
    <w:p>
      <w:pPr>
        <w:pStyle w:val="Normal"/>
        <w:spacing w:lineRule="atLeast" w:line="102" w:before="0" w:after="0"/>
        <w:jc w:val="end"/>
        <w:rPr>
          <w:rFonts w:ascii="Tahoma" w:hAnsi="Tahoma" w:cs="Cambria"/>
          <w:b/>
          <w:bCs/>
          <w:color w:val="00000A"/>
          <w:sz w:val="21"/>
          <w:szCs w:val="21"/>
          <w:shd w:fill="FFFFFF" w:val="clear"/>
        </w:rPr>
      </w:pPr>
      <w:r>
        <w:rPr>
          <w:rFonts w:cs="Cambria" w:ascii="Tahoma" w:hAnsi="Tahoma"/>
          <w:b/>
          <w:bCs/>
          <w:color w:val="00000A"/>
          <w:sz w:val="21"/>
          <w:szCs w:val="21"/>
          <w:shd w:fill="FFFFFF" w:val="clear"/>
        </w:rPr>
      </w:r>
    </w:p>
    <w:p>
      <w:pPr>
        <w:pStyle w:val="Normal"/>
        <w:spacing w:lineRule="auto" w:line="276" w:before="0" w:after="120"/>
        <w:jc w:val="center"/>
        <w:rPr>
          <w:rFonts w:ascii="Tahoma" w:hAnsi="Tahoma"/>
          <w:sz w:val="21"/>
          <w:szCs w:val="21"/>
        </w:rPr>
      </w:pPr>
      <w:r>
        <w:rPr>
          <w:rFonts w:cs="Times New Roman" w:ascii="Tahoma" w:hAnsi="Tahoma"/>
          <w:sz w:val="21"/>
          <w:szCs w:val="21"/>
          <w:lang w:bidi="ar-SA"/>
        </w:rPr>
        <w:t>Dotyczy przetargu nieograniczonego pn:</w:t>
      </w:r>
    </w:p>
    <w:p>
      <w:pPr>
        <w:pStyle w:val="Normal"/>
        <w:spacing w:lineRule="auto" w:line="276" w:before="0" w:after="120"/>
        <w:jc w:val="center"/>
        <w:rPr>
          <w:rFonts w:ascii="Tahoma" w:hAnsi="Tahoma"/>
          <w:sz w:val="21"/>
          <w:szCs w:val="21"/>
          <w:highlight w:val="none"/>
          <w:shd w:fill="FFFFFF" w:val="clear"/>
        </w:rPr>
      </w:pPr>
      <w:r>
        <w:rPr>
          <w:rFonts w:eastAsia="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,,Zakup licencji AMMS wraz z </w:t>
      </w:r>
      <w:r>
        <w:rPr>
          <w:rFonts w:eastAsia="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nadzorem i wdrożeniem, </w:t>
      </w:r>
      <w:r>
        <w:rPr>
          <w:rFonts w:eastAsia="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integracją systemów informatycznych </w:t>
      </w:r>
      <w:r>
        <w:rPr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>Szpitala Powiatowego im. Tadeusza Malińskiego w Śremie sp. z o. o.”</w:t>
      </w:r>
    </w:p>
    <w:p>
      <w:pPr>
        <w:pStyle w:val="Normal"/>
        <w:bidi w:val="0"/>
        <w:jc w:val="center"/>
        <w:rPr>
          <w:rFonts w:ascii="Tahoma" w:hAnsi="Tahoma"/>
          <w:sz w:val="21"/>
          <w:szCs w:val="21"/>
        </w:rPr>
      </w:pPr>
      <w:r>
        <w:rPr>
          <w:rFonts w:eastAsia="" w:cs="Tahoma" w:ascii="Tahoma" w:hAnsi="Tahom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 </w:t>
      </w:r>
      <w:r>
        <w:rPr>
          <w:rFonts w:eastAsia="" w:cs="Tahoma" w:ascii="Tahoma" w:hAnsi="Tahom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>przedsięwzięcie pn.:</w:t>
      </w:r>
    </w:p>
    <w:p>
      <w:pPr>
        <w:pStyle w:val="Normal"/>
        <w:bidi w:val="0"/>
        <w:jc w:val="center"/>
        <w:rPr/>
      </w:pPr>
      <w:r>
        <w:rPr>
          <w:rFonts w:eastAsia="Tahoma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Transformacja cyfrowa Szpitala Powiatowego im. Tadeusza Malińskiego w Śremie sp. z o. o., </w:t>
      </w:r>
      <w:r>
        <w:rPr>
          <w:rFonts w:eastAsia="" w:cs="Tahoma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 xml:space="preserve">realizowane w ramach </w:t>
      </w:r>
      <w:r>
        <w:rPr>
          <w:rStyle w:val="Strong"/>
          <w:rFonts w:eastAsia="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1B1B1B"/>
          <w:spacing w:val="0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  <w:t>Krajowego Planu Odbudowy i Zwiększania Odporności -</w:t>
      </w:r>
      <w:r>
        <w:rPr>
          <w:rStyle w:val="Strong"/>
          <w:rFonts w:cs="Tahoma" w:ascii="Tahoma" w:hAnsi="Tahoma"/>
          <w:b/>
          <w:i w:val="false"/>
          <w:caps w:val="false"/>
          <w:smallCaps w:val="false"/>
          <w:color w:val="1B1B1B"/>
          <w:spacing w:val="0"/>
          <w:sz w:val="21"/>
          <w:szCs w:val="21"/>
          <w:shd w:fill="FFFFFF" w:val="clear"/>
        </w:rPr>
        <w:t>Komponent D „Efektywność, dostępność i jakość systemu ochrony zdrowia” Inwestycja D1.1.2 „Przyspieszenie procesów transformacji cyfrowej ochrony zdrowia poprzez dalszy rozwój usług cyfrowych w ochronie zdrowia”</w:t>
      </w:r>
    </w:p>
    <w:p>
      <w:pPr>
        <w:pStyle w:val="Normal"/>
        <w:bidi w:val="0"/>
        <w:jc w:val="both"/>
        <w:rPr>
          <w:rFonts w:ascii="Tahoma" w:hAnsi="Tahoma" w:eastAsia="" w:cs="Tahoma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</w:pPr>
      <w:r>
        <w:rPr>
          <w:rFonts w:eastAsia="" w:cs="Tahoma" w:ascii="Tahoma" w:hAnsi="Tahom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kern w:val="0"/>
          <w:sz w:val="21"/>
          <w:szCs w:val="21"/>
          <w:u w:val="none"/>
          <w:shd w:fill="FFFFFF" w:val="clear"/>
          <w:em w:val="none"/>
          <w:lang w:val="pl-PL" w:eastAsia="en-US" w:bidi="ar-SA"/>
        </w:rPr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454"/>
        <w:gridCol w:w="1044"/>
        <w:gridCol w:w="4279"/>
        <w:gridCol w:w="2563"/>
        <w:gridCol w:w="2151"/>
        <w:gridCol w:w="795"/>
      </w:tblGrid>
      <w:tr>
        <w:trPr/>
        <w:tc>
          <w:tcPr>
            <w:tcW w:w="14286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spacing w:lineRule="atLeast" w:line="102" w:before="280" w:after="119"/>
              <w:jc w:val="center"/>
              <w:rPr>
                <w:rFonts w:ascii="Cambria" w:hAnsi="Cambria" w:cs="Cambria"/>
                <w:b/>
                <w:bCs/>
                <w:color w:val="00000A"/>
                <w:u w:val="single"/>
              </w:rPr>
            </w:pPr>
            <w:r>
              <w:rPr>
                <w:rFonts w:cs="Cambria" w:ascii="Cambria" w:hAnsi="Cambria"/>
                <w:b/>
                <w:bCs/>
                <w:color w:val="00000A"/>
                <w:u w:val="single"/>
              </w:rPr>
              <w:t>PAKIET NR 3</w:t>
            </w:r>
          </w:p>
          <w:p>
            <w:pPr>
              <w:pStyle w:val="Zawartotabeliuser"/>
              <w:spacing w:lineRule="atLeast" w:line="102" w:before="280" w:after="119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cs="Cambria" w:ascii="Cambria" w:hAnsi="Cambria"/>
                <w:b/>
                <w:bCs/>
                <w:color w:val="00000A"/>
              </w:rPr>
              <w:t>ARKUSZ CENOWY</w:t>
            </w:r>
          </w:p>
        </w:tc>
      </w:tr>
      <w:tr>
        <w:trPr/>
        <w:tc>
          <w:tcPr>
            <w:tcW w:w="345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before="0" w:after="200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>Nazwa</w:t>
            </w:r>
          </w:p>
        </w:tc>
        <w:tc>
          <w:tcPr>
            <w:tcW w:w="104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before="0" w:after="200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>Ilość</w:t>
            </w:r>
          </w:p>
        </w:tc>
        <w:tc>
          <w:tcPr>
            <w:tcW w:w="427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Calibri" w:hAnsi="Calibri"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rFonts w:cs="Tahoma" w:ascii="Tahoma" w:hAnsi="Tahoma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l-PL" w:bidi="ar-SA"/>
              </w:rPr>
              <w:t>ZADANIE /DZIAŁANIE  W PROJEKCIE</w:t>
            </w:r>
          </w:p>
        </w:tc>
        <w:tc>
          <w:tcPr>
            <w:tcW w:w="2563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before="0" w:after="200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>Kwota netto (PLN)</w:t>
            </w:r>
          </w:p>
        </w:tc>
        <w:tc>
          <w:tcPr>
            <w:tcW w:w="215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before="0" w:after="200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>Kwota brutto (PLN)</w:t>
            </w:r>
          </w:p>
        </w:tc>
        <w:tc>
          <w:tcPr>
            <w:tcW w:w="7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</w:r>
          </w:p>
          <w:p>
            <w:pPr>
              <w:pStyle w:val="Zawartotabeliuser"/>
              <w:widowControl w:val="false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ascii="Tahoma" w:hAnsi="Tahoma"/>
                <w:sz w:val="21"/>
                <w:szCs w:val="21"/>
              </w:rPr>
            </w:r>
          </w:p>
          <w:p>
            <w:pPr>
              <w:pStyle w:val="Zawartotabeliuser"/>
              <w:widowControl w:val="false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cs="Tahoma" w:ascii="Tahoma" w:hAnsi="Tahoma"/>
                <w:b/>
                <w:bCs/>
                <w:sz w:val="21"/>
                <w:szCs w:val="21"/>
              </w:rPr>
              <w:t>VAT%</w:t>
            </w:r>
          </w:p>
          <w:p>
            <w:pPr>
              <w:pStyle w:val="Zawartotabeliuser"/>
              <w:widowControl w:val="false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ascii="Tahoma" w:hAnsi="Tahoma"/>
                <w:sz w:val="21"/>
                <w:szCs w:val="21"/>
              </w:rPr>
            </w:r>
          </w:p>
          <w:p>
            <w:pPr>
              <w:pStyle w:val="Zawartotabeliuser"/>
              <w:widowControl w:val="false"/>
              <w:spacing w:before="0" w:after="200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</w:rPr>
            </w:r>
          </w:p>
        </w:tc>
      </w:tr>
      <w:tr>
        <w:trPr/>
        <w:tc>
          <w:tcPr>
            <w:tcW w:w="345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ahoma" w:hAnsi="Tahoma" w:cs="Tahoma"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ahoma" w:ascii="Tahoma" w:hAnsi="Tahoma"/>
                <w:b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Środowisko odtworzeniowe</w:t>
            </w:r>
          </w:p>
          <w:p>
            <w:pPr>
              <w:pStyle w:val="Normal"/>
              <w:bidi w:val="0"/>
              <w:jc w:val="center"/>
              <w:rPr>
                <w:rFonts w:ascii="Tahoma" w:hAnsi="Tahoma" w:cs="Tahoma"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ahoma" w:ascii="Tahoma" w:hAnsi="Tahoma"/>
                <w:b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(36 miesięcy)</w:t>
            </w:r>
          </w:p>
          <w:p>
            <w:pPr>
              <w:pStyle w:val="Normal"/>
              <w:bidi w:val="0"/>
              <w:spacing w:before="0" w:after="160"/>
              <w:jc w:val="center"/>
              <w:rPr>
                <w:rFonts w:ascii="Tahoma" w:hAnsi="Tahoma" w:cs="Tahoma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em w:val="none"/>
              </w:rPr>
            </w:pPr>
            <w:r>
              <w:rPr>
                <w:rFonts w:cs="Tahoma" w:ascii="Tahoma" w:hAnsi="Tahoma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em w:val="none"/>
              </w:rPr>
            </w:r>
          </w:p>
        </w:tc>
        <w:tc>
          <w:tcPr>
            <w:tcW w:w="10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cs="Tahoma" w:ascii="Tahoma" w:hAnsi="Tahoma"/>
                <w:color w:val="000000"/>
                <w:sz w:val="20"/>
                <w:szCs w:val="20"/>
                <w:lang w:val="pl-PL" w:bidi="ar-SA"/>
              </w:rPr>
              <w:t>36 miesięcy</w:t>
            </w:r>
          </w:p>
        </w:tc>
        <w:tc>
          <w:tcPr>
            <w:tcW w:w="4279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start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ZADANIE 3 – </w:t>
            </w:r>
            <w:r>
              <w:rPr>
                <w:rFonts w:cs="Tahoma" w:ascii="Tahoma" w:hAnsi="Tahoma"/>
                <w:b w:val="false"/>
                <w:bCs w:val="false"/>
                <w:color w:val="000000"/>
                <w:sz w:val="20"/>
                <w:szCs w:val="20"/>
                <w:lang w:val="pl-PL" w:bidi="ar-SA"/>
              </w:rPr>
              <w:t>Działanie zwiększające poziom cyberbezpieczeństwa szpitala</w:t>
            </w:r>
            <w:r>
              <w:rPr>
                <w:rFonts w:cs="Tahoma" w:ascii="Tahoma" w:hAnsi="Tahoma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/ DZIAŁANIE I – </w:t>
            </w:r>
            <w:r>
              <w:rPr>
                <w:rFonts w:cs="Tahoma" w:ascii="Tahoma" w:hAnsi="Tahoma"/>
                <w:b w:val="false"/>
                <w:bCs w:val="false"/>
                <w:color w:val="000000"/>
                <w:sz w:val="20"/>
                <w:szCs w:val="20"/>
                <w:lang w:val="pl-PL" w:bidi="ar-SA"/>
              </w:rPr>
              <w:t>System kopii zapasowych</w:t>
            </w:r>
          </w:p>
        </w:tc>
        <w:tc>
          <w:tcPr>
            <w:tcW w:w="256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tLeast" w:line="300" w:before="0" w:after="200"/>
              <w:jc w:val="center"/>
              <w:rPr>
                <w:rFonts w:ascii="Tahoma" w:hAnsi="Tahoma"/>
                <w:color w:val="000000"/>
                <w:sz w:val="21"/>
                <w:szCs w:val="21"/>
              </w:rPr>
            </w:pPr>
            <w:r>
              <w:rPr>
                <w:rFonts w:ascii="Tahoma" w:hAnsi="Tahoma"/>
                <w:color w:val="000000"/>
                <w:sz w:val="21"/>
                <w:szCs w:val="21"/>
              </w:rPr>
            </w:r>
          </w:p>
        </w:tc>
        <w:tc>
          <w:tcPr>
            <w:tcW w:w="215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snapToGrid w:val="false"/>
              <w:spacing w:before="0" w:after="200"/>
              <w:jc w:val="center"/>
              <w:rPr>
                <w:rFonts w:ascii="Tahoma" w:hAnsi="Tahoma" w:cs="Tahoma"/>
                <w:b w:val="false"/>
                <w:bCs w:val="false"/>
                <w:color w:val="000000"/>
                <w:sz w:val="21"/>
                <w:szCs w:val="21"/>
                <w:shd w:fill="auto" w:val="clear"/>
              </w:rPr>
            </w:pPr>
            <w:r>
              <w:rPr>
                <w:rFonts w:cs="Tahoma" w:ascii="Tahoma" w:hAnsi="Tahoma"/>
                <w:b w:val="false"/>
                <w:bCs w:val="false"/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7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widowControl w:val="false"/>
              <w:snapToGrid w:val="false"/>
              <w:spacing w:before="0" w:after="200"/>
              <w:jc w:val="center"/>
              <w:rPr>
                <w:rFonts w:ascii="Tahoma" w:hAnsi="Tahoma" w:cs="Tahoma"/>
                <w:b w:val="false"/>
                <w:bCs w:val="false"/>
                <w:color w:val="000000"/>
                <w:sz w:val="21"/>
                <w:szCs w:val="21"/>
                <w:shd w:fill="auto" w:val="clear"/>
              </w:rPr>
            </w:pPr>
            <w:r>
              <w:rPr>
                <w:rFonts w:cs="Tahoma" w:ascii="Tahoma" w:hAnsi="Tahoma"/>
                <w:b w:val="false"/>
                <w:bCs w:val="false"/>
                <w:color w:val="000000"/>
                <w:sz w:val="21"/>
                <w:szCs w:val="21"/>
                <w:shd w:fill="auto" w:val="clear"/>
              </w:rPr>
            </w:r>
          </w:p>
        </w:tc>
      </w:tr>
      <w:tr>
        <w:trPr>
          <w:trHeight w:val="519" w:hRule="atLeast"/>
        </w:trPr>
        <w:tc>
          <w:tcPr>
            <w:tcW w:w="877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200"/>
              <w:jc w:val="end"/>
              <w:rPr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z w:val="20"/>
                <w:szCs w:val="20"/>
              </w:rPr>
              <w:t>RAZEM:</w:t>
            </w:r>
          </w:p>
        </w:tc>
        <w:tc>
          <w:tcPr>
            <w:tcW w:w="256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napToGrid w:val="false"/>
              <w:spacing w:before="0" w:after="200"/>
              <w:jc w:val="center"/>
              <w:rPr>
                <w:rFonts w:ascii="Tahoma" w:hAnsi="Tahoma" w:cs="Tahoma"/>
                <w:b w:val="false"/>
                <w:bCs w:val="false"/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15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napToGrid w:val="false"/>
              <w:spacing w:before="0" w:after="200"/>
              <w:jc w:val="center"/>
              <w:rPr>
                <w:rFonts w:ascii="Tahoma" w:hAnsi="Tahoma" w:cs="Tahoma"/>
                <w:b w:val="false"/>
                <w:bCs w:val="false"/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79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napToGrid w:val="false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trike w:val="false"/>
                <w:dstrike w:val="false"/>
                <w:sz w:val="20"/>
                <w:szCs w:val="20"/>
              </w:rPr>
              <w:t>---</w:t>
            </w:r>
          </w:p>
        </w:tc>
      </w:tr>
      <w:tr>
        <w:trPr/>
        <w:tc>
          <w:tcPr>
            <w:tcW w:w="8777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200"/>
              <w:jc w:val="end"/>
              <w:rPr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z w:val="20"/>
                <w:szCs w:val="20"/>
              </w:rPr>
              <w:t>SŁOWNIE WARTOŚĆ  BRUTTO</w:t>
            </w:r>
          </w:p>
        </w:tc>
        <w:tc>
          <w:tcPr>
            <w:tcW w:w="5509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napToGrid w:val="false"/>
              <w:spacing w:before="0" w:after="200"/>
              <w:rPr>
                <w:rFonts w:ascii="Tahoma" w:hAnsi="Tahoma" w:cs="Tahoma"/>
                <w:b w:val="false"/>
                <w:bCs w:val="false"/>
                <w:sz w:val="20"/>
                <w:szCs w:val="20"/>
              </w:rPr>
            </w:pPr>
            <w:r>
              <w:rPr>
                <w:rFonts w:cs="Tahoma" w:ascii="Tahoma" w:hAnsi="Tahoma"/>
                <w:b w:val="false"/>
                <w:bCs w:val="false"/>
                <w:sz w:val="20"/>
                <w:szCs w:val="20"/>
              </w:rPr>
            </w:r>
          </w:p>
        </w:tc>
      </w:tr>
    </w:tbl>
    <w:p>
      <w:pPr>
        <w:pStyle w:val="Normal"/>
        <w:spacing w:lineRule="atLeast" w:line="102" w:before="280" w:after="119"/>
        <w:jc w:val="center"/>
        <w:rPr>
          <w:rFonts w:ascii="Cambria" w:hAnsi="Cambria" w:cs="Cambria"/>
          <w:b/>
          <w:bCs/>
          <w:color w:val="00000A"/>
          <w:szCs w:val="22"/>
        </w:rPr>
      </w:pPr>
      <w:r>
        <w:rPr>
          <w:rFonts w:cs="Cambria" w:ascii="Cambria" w:hAnsi="Cambria"/>
          <w:b/>
          <w:bCs/>
          <w:color w:val="00000A"/>
          <w:szCs w:val="22"/>
        </w:rPr>
      </w:r>
    </w:p>
    <w:p>
      <w:pPr>
        <w:pStyle w:val="Normal"/>
        <w:spacing w:lineRule="atLeast" w:line="102" w:before="280" w:after="119"/>
        <w:jc w:val="center"/>
        <w:rPr>
          <w:rFonts w:ascii="Cambria" w:hAnsi="Cambria" w:cs="Cambria"/>
          <w:b/>
          <w:bCs/>
          <w:color w:val="00000A"/>
          <w:szCs w:val="22"/>
        </w:rPr>
      </w:pPr>
      <w:r>
        <w:rPr>
          <w:rFonts w:cs="Cambria" w:ascii="Cambria" w:hAnsi="Cambria"/>
          <w:b/>
          <w:bCs/>
          <w:color w:val="00000A"/>
          <w:szCs w:val="22"/>
        </w:rPr>
      </w:r>
    </w:p>
    <w:p>
      <w:pPr>
        <w:pStyle w:val="Normal"/>
        <w:jc w:val="end"/>
        <w:rPr>
          <w:rFonts w:ascii="Tahoma" w:hAnsi="Tahoma"/>
          <w:sz w:val="21"/>
          <w:szCs w:val="21"/>
        </w:rPr>
      </w:pPr>
      <w:r>
        <w:rPr>
          <w:rFonts w:cs="Tahoma" w:ascii="Tahoma" w:hAnsi="Tahoma"/>
          <w:b w:val="false"/>
          <w:bCs w:val="false"/>
          <w:color w:val="000000"/>
          <w:sz w:val="21"/>
          <w:szCs w:val="21"/>
        </w:rPr>
        <w:t xml:space="preserve">                                                                                </w:t>
      </w:r>
      <w:r>
        <w:rPr>
          <w:rFonts w:cs="Tahoma" w:ascii="Tahoma" w:hAnsi="Tahoma"/>
          <w:b w:val="false"/>
          <w:bCs w:val="false"/>
          <w:color w:val="000000"/>
          <w:sz w:val="21"/>
          <w:szCs w:val="21"/>
        </w:rPr>
        <w:t>....................................................................</w:t>
      </w:r>
    </w:p>
    <w:p>
      <w:pPr>
        <w:pStyle w:val="Normal"/>
        <w:jc w:val="center"/>
        <w:rPr>
          <w:rFonts w:ascii="Tahoma" w:hAnsi="Tahoma"/>
          <w:sz w:val="21"/>
          <w:szCs w:val="21"/>
        </w:rPr>
      </w:pPr>
      <w:r>
        <w:rPr>
          <w:rFonts w:cs="Tahoma" w:ascii="Tahoma" w:hAnsi="Tahoma"/>
          <w:b w:val="false"/>
          <w:bCs w:val="false"/>
          <w:sz w:val="21"/>
          <w:szCs w:val="21"/>
        </w:rPr>
        <w:t xml:space="preserve">                                                                                                                                               </w:t>
      </w:r>
      <w:r>
        <w:rPr>
          <w:rFonts w:cs="Tahoma" w:ascii="Tahoma" w:hAnsi="Tahoma"/>
          <w:b w:val="false"/>
          <w:bCs w:val="false"/>
          <w:sz w:val="16"/>
          <w:szCs w:val="16"/>
        </w:rPr>
        <w:t xml:space="preserve">  </w:t>
      </w:r>
      <w:r>
        <w:rPr>
          <w:rFonts w:cs="Century Gothic" w:ascii="Tahoma" w:hAnsi="Tahoma"/>
          <w:sz w:val="16"/>
          <w:szCs w:val="16"/>
        </w:rPr>
        <w:t>podpis osoby uprawnionej</w:t>
      </w:r>
    </w:p>
    <w:p>
      <w:pPr>
        <w:pStyle w:val="Normal"/>
        <w:jc w:val="center"/>
        <w:rPr>
          <w:sz w:val="16"/>
          <w:szCs w:val="16"/>
        </w:rPr>
      </w:pPr>
      <w:r>
        <w:rPr>
          <w:rFonts w:eastAsia="Century Gothic" w:cs="Century Gothic" w:ascii="Tahoma" w:hAnsi="Tahoma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cs="Century Gothic" w:ascii="Tahoma" w:hAnsi="Tahoma"/>
          <w:sz w:val="16"/>
          <w:szCs w:val="16"/>
        </w:rPr>
        <w:t>do składania oświadczeń woli w imieniu Wykonawcy</w:t>
      </w:r>
    </w:p>
    <w:p>
      <w:pPr>
        <w:pStyle w:val="Normal"/>
        <w:ind w:hanging="0" w:start="0"/>
        <w:rPr>
          <w:rFonts w:ascii="Tahoma" w:hAnsi="Tahoma" w:cs="Calibri" w:cstheme="minorHAnsi"/>
          <w:sz w:val="21"/>
          <w:szCs w:val="21"/>
        </w:rPr>
      </w:pPr>
      <w:r>
        <w:rPr>
          <w:rFonts w:cs="Calibri" w:cstheme="minorHAnsi" w:ascii="Tahoma" w:hAnsi="Tahoma"/>
          <w:sz w:val="21"/>
          <w:szCs w:val="21"/>
        </w:rPr>
      </w:r>
    </w:p>
    <w:p>
      <w:pPr>
        <w:pStyle w:val="Normal"/>
        <w:widowControl w:val="false"/>
        <w:suppressAutoHyphens w:val="true"/>
        <w:overflowPunct w:val="fals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libri" w:cstheme="minorHAnsi"/>
          <w:b/>
          <w:color w:val="auto"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59" w:before="0" w:after="160"/>
        <w:ind w:hanging="0" w:start="0"/>
        <w:contextualSpacing/>
        <w:rPr>
          <w:rFonts w:eastAsia="" w:eastAsiaTheme="minorEastAsia"/>
          <w:highlight w:val="yellow"/>
        </w:rPr>
      </w:pPr>
      <w:r>
        <w:rPr>
          <w:rFonts w:eastAsia="" w:eastAsiaTheme="minorEastAsia"/>
          <w:highlight w:val="yellow"/>
        </w:rPr>
      </w:r>
    </w:p>
    <w:p>
      <w:pPr>
        <w:pStyle w:val="ListParagraph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p>
      <w:pPr>
        <w:pStyle w:val="ListParagraph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suppressAutoHyphens w:val="true"/>
        <w:overflowPunct w:val="fals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libri" w:cstheme="minorHAnsi"/>
          <w:b/>
          <w:color w:val="auto"/>
        </w:rPr>
        <w:t>PAKIET NR 3</w:t>
      </w:r>
    </w:p>
    <w:p>
      <w:pPr>
        <w:pStyle w:val="Normal"/>
        <w:widowControl w:val="false"/>
        <w:suppressAutoHyphens w:val="true"/>
        <w:overflowPunct w:val="fals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libri" w:cstheme="minorHAnsi"/>
          <w:b/>
          <w:color w:val="auto"/>
        </w:rPr>
        <w:t xml:space="preserve">     </w:t>
      </w:r>
      <w:r>
        <w:rPr>
          <w:rFonts w:cs="Cambria" w:ascii="Cambria" w:hAnsi="Cambria"/>
          <w:b/>
          <w:bCs/>
          <w:color w:val="00000A"/>
        </w:rPr>
        <w:t xml:space="preserve">OPIS PRZEDMIOTU ZAMÓWIENIA </w:t>
      </w:r>
    </w:p>
    <w:p>
      <w:pPr>
        <w:pStyle w:val="Normal"/>
        <w:widowControl w:val="false"/>
        <w:suppressAutoHyphens w:val="true"/>
        <w:overflowPunct w:val="fals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mbria" w:ascii="Cambria" w:hAnsi="Cambria"/>
          <w:b/>
          <w:bCs/>
          <w:color w:val="00000A"/>
        </w:rPr>
        <w:t xml:space="preserve"> </w:t>
      </w:r>
      <w:r>
        <w:rPr>
          <w:rFonts w:cs="Cambria" w:ascii="Cambria" w:hAnsi="Cambria"/>
          <w:b/>
          <w:bCs/>
          <w:color w:val="00000A"/>
        </w:rPr>
        <w:t>FORMULARZ PARAMETRÓW TECHNICZNYCH</w:t>
      </w:r>
    </w:p>
    <w:p>
      <w:pPr>
        <w:pStyle w:val="Normal"/>
        <w:widowControl w:val="false"/>
        <w:suppressAutoHyphens w:val="true"/>
        <w:overflowPunct w:val="fals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mbria" w:ascii="Cambria" w:hAnsi="Cambria"/>
          <w:color w:val="00000A"/>
          <w:szCs w:val="22"/>
        </w:rPr>
        <w:t xml:space="preserve">MINIMALNE WYMAGANE PARAMETRY I FUNKCJE </w:t>
      </w:r>
    </w:p>
    <w:p>
      <w:pPr>
        <w:pStyle w:val="ListParagraph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p>
      <w:pPr>
        <w:pStyle w:val="ListParagraph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p>
      <w:pPr>
        <w:pStyle w:val="ListParagraph"/>
        <w:spacing w:lineRule="auto" w:line="240"/>
        <w:jc w:val="center"/>
        <w:rPr>
          <w:b/>
          <w:bCs/>
        </w:rPr>
      </w:pPr>
      <w:r>
        <w:rPr>
          <w:rFonts w:eastAsia="Times New Roman"/>
          <w:b/>
          <w:bCs/>
          <w:color w:val="00B0F0"/>
          <w:sz w:val="32"/>
          <w:szCs w:val="32"/>
          <w:lang w:eastAsia="pl-PL"/>
        </w:rPr>
        <w:t>Środowisko odtworzeniowe – wariant Podstawowy</w:t>
      </w:r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Wymagania funkcjonalne</w:t>
      </w:r>
    </w:p>
    <w:p>
      <w:pPr>
        <w:pStyle w:val="Normal"/>
        <w:tabs>
          <w:tab w:val="clear" w:pos="708"/>
          <w:tab w:val="left" w:pos="993" w:leader="none"/>
        </w:tabs>
        <w:rPr/>
      </w:pPr>
      <w:r>
        <w:rPr/>
        <w:t>Opis wszystkich funkcjonalności oraz zależności w ramach modułu, w podziale: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rPr>
          <w:b/>
          <w:bCs/>
        </w:rPr>
      </w:pPr>
      <w:r>
        <w:rPr>
          <w:b/>
          <w:bCs/>
        </w:rPr>
        <w:t>Wymagania funkcjonalne</w:t>
      </w:r>
    </w:p>
    <w:p>
      <w:pPr>
        <w:pStyle w:val="Normal"/>
        <w:spacing w:beforeAutospacing="1" w:afterAutospacing="1"/>
        <w:ind w:firstLine="708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System umożliwia:</w:t>
      </w:r>
    </w:p>
    <w:p>
      <w:pPr>
        <w:pStyle w:val="Normal"/>
        <w:numPr>
          <w:ilvl w:val="1"/>
          <w:numId w:val="5"/>
        </w:numPr>
        <w:spacing w:lineRule="auto" w:line="240" w:beforeAutospacing="1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obsługę cyklicznego wykonywania kopii danych z możliwością testów odtworzeniowych,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kopie wykonywane są zgodnie z wypracowaną polityką (wspólne uzgodnienie Zamawiającego i Dostawcy) oraz przeprowadzane są testy odtworzeniowe - co najmniej raz na miesiąc,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zachowanie zgodności z politykami retencji i bezpieczeństwa,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automatyczne tworzenie przyrostowych kopii bezpieczeństwa baz danych Oracle,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automatyczne i selektywne tworzenie przyrostowych kopii bezpieczeństwa wszystkich plików uruchomieniowych, plików konfiguracyjnych, bibliotek oraz pozostałych komponentów funkcjonalnych, składających się na aplikacje HIS, LIS oraz ERP,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tworzenie kopii bezpieczeństwa w sposób operujący na pojedynczych plikach lub komponentach funkcjonalnych aplikacji HIS, LIS oraz ERP, z możliwością selektywnego wykonywania kopii pojedynczych składników (np. aplikacji, modułów, wersji, konfiguracji),</w:t>
      </w:r>
      <w:r>
        <w:rPr/>
        <w:t xml:space="preserve"> </w:t>
      </w:r>
      <w:r>
        <w:rPr>
          <w:rFonts w:eastAsia="Times New Roman"/>
          <w:lang w:eastAsia="pl-PL"/>
        </w:rPr>
        <w:t>bez wykorzystywania kopii obrazów maszyn wirtualnych, obrazów dysków ani całych folderów,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automatyczne oraz wykonywane na żądanie odkładanie w środowisku chmurowym (tj. zewnętrznym data center) wszystkich komponentów aplikacyjnych systemów HIS, LIS i ERP oraz danych Oracle,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wydzielenie w środowisku chmurowym przestrzeni do bezpiecznego przechowywania backupowanych zasobów oraz uruchomienie w pełni działającego środowiska aplikacyjnego dla systemów HIS, LIS i ERP, w którym możliwe jest testowanie kopii bezpieczeństwa,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proces testowania kopii bezpieczeństwa realizowany jest całkowicie w środowisku chmurowym, niezależnie od środowiska produkcyjnego Zamawiającego,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utrzymanie środowiska chmurowego dla systemów HIS, LIS i ERP w konfiguracji analogicznej z lokalnym środowiskiem produkcyjnym, poprzez instalację, konfigurację oraz uruchomienie wymaganych elementów funkcjonujących w systemach lokalnych,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automatyczne aktualizowanie środowiska chmurowego równolegle z przeprowadzanymi aktualizacjami środowiska lokalnego systemów HIS, LIS i ERP, tak aby oba środowiska były zawsze zbieżne pod względem konfiguracji oraz wersji działających modułów, przy czym synchronizacja odbywa się automatycznie, bez konieczności ingerencji administratora,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przechowywanie minimum trzech pełnych wersji środowiska lokalnego – zarówno danych Oracle, jak komponentów aplikacyjnych systemów HIS, LIS oraz ERP,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automatyczną synchronizację danych zgodnie z ustalonym harmonogramem systemowym oraz wewnętrznymi politykami Zamawiającego, a także po każdej zmianie w konfiguracji środowiska produkcyjnego, przy czym mechanizmy synchronizacji mogą być uruchamiane nie rzadziej niż raz na godzinę,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selektywne testowanie każdej z aplikacji lub pojedynczych modułów dla każdej z wersji przechowywanej w chmurze, poprzez uruchomienie w chmurze w pełni działających aplikacji, zalogowanie się oraz skorzystanie z każdej dostępnej funkcjonalności,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architektura dostarczonego rozwiązania musi być oparta o serwery pośredniczące (proxy), tak aby środowisko produkcyjne (lokalne) nie miało bezpośredniego dostępu do chmury, a środowisko chmurowe nie miało bezpośredniego dostępu do środowiska lokalnego, zarówno w zakresie wymiany danych, jak i inicjacji połączeń między środowiskami,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dostarczone rozwiązanie musi posiadać wbudowane mechanizmy ochrony przed ransomware, uniemożliwiające synchronizację do chmury danych, które zostały już zaszyfrowane w środowisku lokalnym lub gdy proces szyfrowania jest w trakcie,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pełne szyfrowanie komunikacji między środowiskiem lokalnym a chmurowym, zarówno na poziomie wymiany danych, jak i inicjacji połączeń,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korzystanie z wbudowanego panelu administratora, który zapewnia realizację wszystkich kluczowych procesów,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korzystanie z wbudowanych narzędzi monitorowania i powiadamiania o przebiegu wszystkich kluczowych procesów i statusów pracy systemu, w tym m.in. dostępności usług oraz statusów procesów synchronizacji danych,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narzędzia monitorowania muszą udostępniać dashboardy graficzne, powiadomienia e-mail oraz powiadomienia MS Teams,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korzystanie z usługi S3 Object Storage o pojemności minimum 50 TB, stanowiącej uzupełnienie rozwiązania i umożliwiającej cykliczne oraz automatyczne tworzenie kopii maszyn wirtualnych wykorzystywanych w środowisku Zamawiającego, zgodnie z ustalonym harmonogramem, z zapewnieniem bezpieczeństwa i wysokiej dostępności. Usługa powinna spełniać następujące wymagania funkcjonalne: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komunikacja z klientem realizowana poprzez protokół HTTPS, gwarantujący szyfrowane połączenie,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dostęp do usługi zabezpieczony poprzez sekretny klucz i identyfikator usługi,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dane przechowywane w repozytorium muszą być szyfrowane przy użyciu klucza zarządzanego przez usługodawcę lub przy użyciu własnego klucza szyfrującego dostarczonego przez Zamawiającego,</w:t>
      </w:r>
    </w:p>
    <w:p>
      <w:pPr>
        <w:pStyle w:val="Normal"/>
        <w:numPr>
          <w:ilvl w:val="1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korzystanie z modułu do składowania Elektronicznej Dokumentacji Medycznej (EDM):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usługa umożliwia składowanie Elektronicznej Dokumentacji Medycznej poza infrastrukturą Zamawiającego, dając możliwość indeksowania i wymiany z innymi świadczeniodawcami za pomocą systemu P1,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podczas indeksacji dokumentów na platformie P1 jako repozytorium dokumentów, do którego po dokumenty mogą kierować się inni świadczeniodawcy i pacjenci, możliwe jest wskazanie repozytorium w usłudze chmurowej,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dostarczona usługa do komunikacji z systemem HIS musi wykorzystywać standard IHE (zgodnie z wytycznymi przygotowanymi do komunikacji z systemem P1),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usługa musi umożliwiać przechowywanie w niej całości dokumentacji EDM wytwarzanej w jednostce lub tylko tej, która jest wymagana do indeksowania w ramach P1,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usługa dostarczana jest w modelu SaaS (Software as a Service),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możliwość składowania i udostępniania dokumentów wytworzonych w oparciu o standard HL7 CDA, w tym Polską Implementację Krajową (PIK) HL7 CDA,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Wykonawca obejmie usługę składowania Elektronicznej Dokumentacji Medycznej monitoringiem SOC prowadzonym w trybie 24/7,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usługa umożliwia składowanie do 25 tys. nowych dokumentów miesięcznie,</w:t>
      </w:r>
    </w:p>
    <w:p>
      <w:pPr>
        <w:pStyle w:val="Normal"/>
        <w:numPr>
          <w:ilvl w:val="2"/>
          <w:numId w:val="5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usługa oferuje minimum 60 GB na składowanie dokumentacji,</w:t>
      </w:r>
    </w:p>
    <w:p>
      <w:pPr>
        <w:pStyle w:val="Normal"/>
        <w:numPr>
          <w:ilvl w:val="2"/>
          <w:numId w:val="5"/>
        </w:numPr>
        <w:spacing w:lineRule="auto" w:line="240" w:before="0" w:afterAutospacing="1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usługa musi oferować możliwość powiększenia przestrzeni na dane.</w:t>
      </w:r>
    </w:p>
    <w:p>
      <w:pPr>
        <w:pStyle w:val="Normal"/>
        <w:spacing w:lineRule="auto" w:line="240" w:beforeAutospacing="1" w:afterAutospacing="1"/>
        <w:ind w:start="1440"/>
        <w:jc w:val="both"/>
        <w:rPr>
          <w:rFonts w:eastAsia="Times New Roman"/>
          <w:strike/>
          <w:lang w:eastAsia="pl-PL"/>
        </w:rPr>
      </w:pPr>
      <w:r>
        <w:rPr>
          <w:rFonts w:eastAsia="Times New Roman"/>
          <w:strike/>
          <w:lang w:eastAsia="pl-PL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b/>
          <w:bCs/>
        </w:rPr>
        <w:t>Wewnętrzne integracje: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/>
        <w:t>Nie dotyczy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b/>
          <w:bCs/>
        </w:rPr>
        <w:t>Zależności między modułami: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/>
        <w:t>Nie dotyczy</w:t>
      </w:r>
    </w:p>
    <w:p>
      <w:pPr>
        <w:pStyle w:val="Normal"/>
        <w:tabs>
          <w:tab w:val="clear" w:pos="708"/>
          <w:tab w:val="left" w:pos="993" w:leader="none"/>
        </w:tabs>
        <w:rPr/>
      </w:pPr>
      <w:r>
        <w:rPr/>
      </w:r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Kryteria odbioru produktu</w:t>
      </w:r>
    </w:p>
    <w:p>
      <w:pPr>
        <w:pStyle w:val="Normal"/>
        <w:spacing w:beforeAutospacing="1" w:afterAutospacing="1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Produkt zostanie uznany za gotowy do odbioru, jeśli spełni następujące kryteria:</w:t>
      </w:r>
    </w:p>
    <w:p>
      <w:pPr>
        <w:pStyle w:val="Normal"/>
        <w:numPr>
          <w:ilvl w:val="0"/>
          <w:numId w:val="6"/>
        </w:numPr>
        <w:spacing w:lineRule="auto" w:line="240" w:beforeAutospacing="1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uruchomienie mechanizmów synchronizacji danych z lokalnego środowiska do środowiska chmurowego,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weryfikacja poprawności wykonywania kopii zapasowych,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przeprowadzenie udokumentowanych testów odtworzeniowych (backup &amp; recovery),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potwierdzenie działania środowiska zgodnie z przyjętą specyfikacją (checklista),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raport z testów i konfiguracji środowiska (backup/test plan/logi),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wybrana dokumentacja EDM składowana jest w repozytorium chmurowym,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 ramach systemu P1, jako repozytorium udostępniające dokumenty do pobrania, wskazane jest dostarczone repozytorium chmurowe,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potwierdzenie działania wbudowanych narzędzi monitorowania i powiadamiania (dashboardy graficzne, powiadomienia email, powiadomienia MS Teams),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potwierdzenie automatycznej synchronizacji wersji i konfiguracji środowiska chmurowego ze środowiskiem lokalnym,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przeprowadzenie testów uruchomienia aplikacji w chmurze (pełne uruchomienie aplikacji i modułów, logowanie oraz sprawdzenie funkcjonalności),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weryfikacja działania cyklicznych i automatycznych backupów maszyn wirtualnych w repozytorium S3,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potwierdzenie spełnienia wymagań bezpieczeństwa repozytorium S3 (szyfrowana komunikacja HTTPS, autoryzacja poprzez sekretny klucz i identyfikator usługi, szyfrowanie danych),</w:t>
      </w:r>
    </w:p>
    <w:p>
      <w:pPr>
        <w:pStyle w:val="Normal"/>
        <w:numPr>
          <w:ilvl w:val="0"/>
          <w:numId w:val="6"/>
        </w:numPr>
        <w:spacing w:lineRule="auto" w:line="240" w:before="0" w:afterAutospacing="1"/>
        <w:jc w:val="both"/>
        <w:rPr>
          <w:rFonts w:eastAsia="Times New Roman"/>
          <w:lang w:eastAsia="pl-PL"/>
        </w:rPr>
      </w:pPr>
      <w:bookmarkStart w:id="1" w:name="_Hlk210048051"/>
      <w:r>
        <w:rPr>
          <w:rFonts w:eastAsia="Times New Roman"/>
          <w:lang w:eastAsia="pl-PL"/>
        </w:rPr>
        <w:t>potwierdzenie objęcia usługi EDM monitoringiem przez Security Operation Center (SOC) w trybie 24/7/365.</w:t>
      </w:r>
      <w:bookmarkEnd w:id="1"/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</w:r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Wymagania do uruchomienia produktu</w:t>
      </w:r>
    </w:p>
    <w:p>
      <w:pPr>
        <w:pStyle w:val="Normal"/>
        <w:tabs>
          <w:tab w:val="clear" w:pos="708"/>
          <w:tab w:val="left" w:pos="993" w:leader="none"/>
        </w:tabs>
        <w:rPr/>
      </w:pPr>
      <w:r>
        <w:rPr/>
        <w:t>Lista zasobów, zależności i warunków koniecznych do uruchomienia modułu: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59" w:before="0" w:after="160"/>
        <w:rPr>
          <w:b/>
          <w:bCs/>
        </w:rPr>
      </w:pPr>
      <w:r>
        <w:rPr>
          <w:b/>
          <w:bCs/>
        </w:rPr>
        <w:t xml:space="preserve">Warunki startowe </w:t>
      </w:r>
    </w:p>
    <w:p>
      <w:pPr>
        <w:pStyle w:val="ListParagraph"/>
        <w:numPr>
          <w:ilvl w:val="0"/>
          <w:numId w:val="7"/>
        </w:numPr>
        <w:spacing w:lineRule="auto" w:line="240" w:beforeAutospacing="1" w:afterAutospacing="1"/>
        <w:contextualSpacing/>
        <w:outlineLvl w:val="3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Wymagania licencyjne</w:t>
      </w:r>
    </w:p>
    <w:p>
      <w:pPr>
        <w:pStyle w:val="Normal"/>
        <w:numPr>
          <w:ilvl w:val="0"/>
          <w:numId w:val="12"/>
        </w:numPr>
        <w:spacing w:lineRule="auto" w:line="240" w:beforeAutospacing="1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licencja Oracle 19c,</w:t>
      </w:r>
    </w:p>
    <w:p>
      <w:pPr>
        <w:pStyle w:val="Normal"/>
        <w:numPr>
          <w:ilvl w:val="0"/>
          <w:numId w:val="12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licencje chmurowe Asseco (AMMS, IM, LABO),</w:t>
      </w:r>
    </w:p>
    <w:p>
      <w:pPr>
        <w:pStyle w:val="Normal"/>
        <w:numPr>
          <w:ilvl w:val="0"/>
          <w:numId w:val="12"/>
        </w:numPr>
        <w:spacing w:lineRule="auto" w:line="240" w:before="0" w:afterAutospacing="1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licencje wszystkich dodatkowych narzędzi, z których składa się proponowane rozwiązanie (systemy operacyjne Windows, licencje dostępowe CAL, licencje RDP).</w:t>
      </w:r>
    </w:p>
    <w:p>
      <w:pPr>
        <w:pStyle w:val="ListParagraph"/>
        <w:numPr>
          <w:ilvl w:val="0"/>
          <w:numId w:val="7"/>
        </w:numPr>
        <w:spacing w:lineRule="auto" w:line="240" w:beforeAutospacing="1" w:afterAutospacing="1"/>
        <w:contextualSpacing/>
        <w:outlineLvl w:val="3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Wymagania sprzętowe i sieciowe (lokalnie)</w:t>
      </w:r>
    </w:p>
    <w:p>
      <w:pPr>
        <w:pStyle w:val="Normal"/>
        <w:numPr>
          <w:ilvl w:val="0"/>
          <w:numId w:val="12"/>
        </w:numPr>
        <w:spacing w:lineRule="auto" w:line="240" w:before="0" w:after="0"/>
        <w:ind w:hanging="357" w:start="1066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serwer Proxy (fizyczny lub wirtualny) – minimalna specyfikacja:</w:t>
      </w:r>
    </w:p>
    <w:p>
      <w:pPr>
        <w:pStyle w:val="Normal"/>
        <w:numPr>
          <w:ilvl w:val="1"/>
          <w:numId w:val="13"/>
        </w:numPr>
        <w:spacing w:lineRule="auto" w:line="240" w:before="0" w:after="0"/>
        <w:ind w:hanging="357" w:start="1786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CPU: min. 2 vCPU @ 2.5 GHz,</w:t>
      </w:r>
    </w:p>
    <w:p>
      <w:pPr>
        <w:pStyle w:val="Normal"/>
        <w:numPr>
          <w:ilvl w:val="1"/>
          <w:numId w:val="13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RAM: 64 GB,</w:t>
      </w:r>
    </w:p>
    <w:p>
      <w:pPr>
        <w:pStyle w:val="Normal"/>
        <w:numPr>
          <w:ilvl w:val="1"/>
          <w:numId w:val="13"/>
        </w:numPr>
        <w:spacing w:lineRule="auto" w:line="240" w:before="0" w:after="0"/>
        <w:ind w:hanging="357" w:start="1786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dysk: min. 100 GB SSD/NVMe.</w:t>
      </w:r>
    </w:p>
    <w:p>
      <w:pPr>
        <w:pStyle w:val="Normal"/>
        <w:numPr>
          <w:ilvl w:val="0"/>
          <w:numId w:val="12"/>
        </w:numPr>
        <w:spacing w:lineRule="auto" w:line="240" w:before="0" w:after="0"/>
        <w:ind w:hanging="357" w:start="1066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UTM / Firewall umożliwiający zestawienie tunelu IPSec (S2S VPN),</w:t>
      </w:r>
    </w:p>
    <w:p>
      <w:pPr>
        <w:pStyle w:val="Normal"/>
        <w:numPr>
          <w:ilvl w:val="0"/>
          <w:numId w:val="12"/>
        </w:numPr>
        <w:spacing w:lineRule="auto" w:line="240" w:before="0" w:afterAutospacing="1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stabilne łącze internetowe ze stałym adresem publicznym (min. przepustowość: 40/40 Mbps).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59" w:before="0" w:after="160"/>
        <w:rPr>
          <w:b/>
        </w:rPr>
      </w:pPr>
      <w:r>
        <w:rPr>
          <w:b/>
        </w:rPr>
        <w:t>Wymagania techniczne:</w:t>
      </w:r>
    </w:p>
    <w:p>
      <w:pPr>
        <w:pStyle w:val="Normal"/>
        <w:numPr>
          <w:ilvl w:val="1"/>
          <w:numId w:val="3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dostęp do środowiska lokalnego (bazy danych oraz aplikacji HIS, LIS, ERP produkcji Asseco Poland S.A),</w:t>
      </w:r>
    </w:p>
    <w:p>
      <w:pPr>
        <w:pStyle w:val="Normal"/>
        <w:numPr>
          <w:ilvl w:val="1"/>
          <w:numId w:val="3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baza Oracle 19c w trybie ARCHIVELOG (jeśli niedostępna konieczna migracja),</w:t>
      </w:r>
    </w:p>
    <w:p>
      <w:pPr>
        <w:pStyle w:val="Normal"/>
        <w:numPr>
          <w:ilvl w:val="1"/>
          <w:numId w:val="3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serwer Proxy z dostępem do serwerów aplikacyjnych (Oracle, AMMS, IM, LABO),</w:t>
      </w:r>
    </w:p>
    <w:p>
      <w:pPr>
        <w:pStyle w:val="Normal"/>
        <w:numPr>
          <w:ilvl w:val="1"/>
          <w:numId w:val="3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wydzielona strefa DMZ (VLAN, ACL) separacja Proxy od sieci produkcyjnej,</w:t>
      </w:r>
    </w:p>
    <w:p>
      <w:pPr>
        <w:pStyle w:val="Normal"/>
        <w:numPr>
          <w:ilvl w:val="1"/>
          <w:numId w:val="3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wdrożony system kopii zapasowych wspierający protokół S3 (wraz z odpowiednią licencją),</w:t>
      </w:r>
    </w:p>
    <w:p>
      <w:pPr>
        <w:pStyle w:val="Normal"/>
        <w:numPr>
          <w:ilvl w:val="1"/>
          <w:numId w:val="3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mechanizmy zabezpieczające przed ransomware, uniemożliwiające synchronizację do chmury danych zaszyfrowanych w środowisku lokalnym lub w trakcie szyfrowania,</w:t>
      </w:r>
    </w:p>
    <w:p>
      <w:pPr>
        <w:pStyle w:val="Normal"/>
        <w:numPr>
          <w:ilvl w:val="1"/>
          <w:numId w:val="3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szyfrowanie komunikacji między środowiskiem lokalnym i chmurowym, obejmujące zarówno wymianę danych, jak i inicjację połączeń,</w:t>
      </w:r>
    </w:p>
    <w:p>
      <w:pPr>
        <w:pStyle w:val="Normal"/>
        <w:numPr>
          <w:ilvl w:val="1"/>
          <w:numId w:val="3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autoryzacja dostępu do usługi S3 poprzez sekretny klucz i identyfikator usługi,</w:t>
      </w:r>
    </w:p>
    <w:p>
      <w:pPr>
        <w:pStyle w:val="Normal"/>
        <w:numPr>
          <w:ilvl w:val="1"/>
          <w:numId w:val="3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dane przechowywane w repozytorium S3 szyfrowane przy użyciu klucza zarządzanego przez usługodawcę lub własnego klucza szyfrującego dostarczonego przez Zamawiającego,</w:t>
      </w:r>
    </w:p>
    <w:p>
      <w:pPr>
        <w:pStyle w:val="Normal"/>
        <w:numPr>
          <w:ilvl w:val="1"/>
          <w:numId w:val="3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możliwość zestawienia szyfrowanej komunikacji (HTTPS, TLS, WSS) dla repozytorium EDM,</w:t>
      </w:r>
    </w:p>
    <w:p>
      <w:pPr>
        <w:pStyle w:val="Normal"/>
        <w:numPr>
          <w:ilvl w:val="1"/>
          <w:numId w:val="3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konfiguracja i integracja repozytorium EDM z systemem P1 w standardzie IHE oraz HL7 CDA,</w:t>
      </w:r>
    </w:p>
    <w:p>
      <w:pPr>
        <w:pStyle w:val="Normal"/>
        <w:numPr>
          <w:ilvl w:val="1"/>
          <w:numId w:val="3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zapewnienie przestrzeni w repozytorium EDM: min. 60 GB i obsługa do 25 tys. dokumentów miesięcznie.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59" w:before="0" w:after="160"/>
        <w:ind w:hanging="357" w:start="357"/>
        <w:rPr/>
      </w:pPr>
      <w:r>
        <w:rPr>
          <w:b/>
        </w:rPr>
        <w:t>Wymagania organizacyjne:</w:t>
      </w:r>
    </w:p>
    <w:p>
      <w:pPr>
        <w:pStyle w:val="Normal"/>
        <w:numPr>
          <w:ilvl w:val="1"/>
          <w:numId w:val="3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wyznaczenie osoby technicznej do współpracy przy wdrożeniu,</w:t>
      </w:r>
    </w:p>
    <w:p>
      <w:pPr>
        <w:pStyle w:val="Normal"/>
        <w:numPr>
          <w:ilvl w:val="1"/>
          <w:numId w:val="3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zapewnienie dostępów administracyjnych do systemów objętych usługą,</w:t>
      </w:r>
    </w:p>
    <w:p>
      <w:pPr>
        <w:pStyle w:val="Normal"/>
        <w:numPr>
          <w:ilvl w:val="1"/>
          <w:numId w:val="3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zgoda na dostęp zdalny (VPN/SSH/RDP) dla zespołu wdrożeniowego,</w:t>
      </w:r>
    </w:p>
    <w:p>
      <w:pPr>
        <w:pStyle w:val="Normal"/>
        <w:numPr>
          <w:ilvl w:val="1"/>
          <w:numId w:val="3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uzgodnienie harmonogramu testów i trybu pracy systemu.</w:t>
      </w:r>
    </w:p>
    <w:p>
      <w:pPr>
        <w:pStyle w:val="Normal"/>
        <w:numPr>
          <w:ilvl w:val="1"/>
          <w:numId w:val="3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zapewnienie objęcia usługi monitoringiem SOC w trybie 24/7/365,</w:t>
      </w:r>
    </w:p>
    <w:p>
      <w:pPr>
        <w:pStyle w:val="Normal"/>
        <w:numPr>
          <w:ilvl w:val="1"/>
          <w:numId w:val="3"/>
        </w:numPr>
        <w:spacing w:lineRule="auto" w:line="240" w:before="0" w:afterAutospacing="1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zapewnienie narzędzi monitorowania i powiadamiania (dashboardy, email, MS Teams).</w:t>
      </w:r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Opis wdrożenia </w:t>
      </w:r>
    </w:p>
    <w:p>
      <w:pPr>
        <w:pStyle w:val="ListParagraph"/>
        <w:numPr>
          <w:ilvl w:val="0"/>
          <w:numId w:val="0"/>
        </w:numPr>
        <w:spacing w:lineRule="auto" w:line="240" w:beforeAutospacing="1" w:afterAutospacing="1"/>
        <w:ind w:hanging="0" w:start="720"/>
        <w:contextualSpacing/>
        <w:outlineLvl w:val="3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</w:r>
    </w:p>
    <w:p>
      <w:pPr>
        <w:pStyle w:val="ListParagraph"/>
        <w:numPr>
          <w:ilvl w:val="0"/>
          <w:numId w:val="10"/>
        </w:numPr>
        <w:spacing w:lineRule="auto" w:line="240" w:beforeAutospacing="1" w:afterAutospacing="1"/>
        <w:contextualSpacing/>
        <w:outlineLvl w:val="3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Infrastruktura Klienta (lokalna)</w:t>
      </w:r>
    </w:p>
    <w:p>
      <w:pPr>
        <w:pStyle w:val="Normal"/>
        <w:numPr>
          <w:ilvl w:val="0"/>
          <w:numId w:val="8"/>
        </w:numPr>
        <w:spacing w:lineRule="auto" w:line="240" w:beforeAutospacing="1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konfiguracja strefy DMZ (VLAN, ACL),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instalacja i konfiguracja serwera Proxy (moduły synchronizacji),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konfiguracja urządzenia UTM/Firewall do zestawienia tunelu IPSec (S2S),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konfiguracja silnika bazy danych Oracle (ARCHIVELOG),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synchronizacja z bazą DRC (Oracle 19c),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konfiguracja synchronizacji aplikacji Asseco (AMMS, IM, LABO),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architektura wdrożenia oparta na serwerach pośredniczących (proxy), uniemożliwiających bezpośredni dostęp środowiska lokalnego do chmury i odwrotnie,</w:t>
      </w:r>
    </w:p>
    <w:p>
      <w:pPr>
        <w:pStyle w:val="Normal"/>
        <w:numPr>
          <w:ilvl w:val="0"/>
          <w:numId w:val="8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wdrożenie mechanizmów ochrony przed ransomware, blokujących synchronizację danych zaszyfrowanych lub w trakcie szyfrowania,</w:t>
      </w:r>
    </w:p>
    <w:p>
      <w:pPr>
        <w:pStyle w:val="Normal"/>
        <w:numPr>
          <w:ilvl w:val="0"/>
          <w:numId w:val="8"/>
        </w:numPr>
        <w:spacing w:lineRule="auto" w:line="240" w:before="0" w:afterAutospacing="1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pełne szyfrowanie komunikacji pomiędzy środowiskiem lokalnym i chmurowym, obejmujące wymianę danych i inicjację połączeń.</w:t>
      </w:r>
    </w:p>
    <w:p>
      <w:pPr>
        <w:pStyle w:val="ListParagraph"/>
        <w:numPr>
          <w:ilvl w:val="0"/>
          <w:numId w:val="10"/>
        </w:numPr>
        <w:spacing w:lineRule="auto" w:line="240" w:beforeAutospacing="1" w:afterAutospacing="1"/>
        <w:contextualSpacing/>
        <w:outlineLvl w:val="3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Infrastruktura Chmurowa (DRC)</w:t>
      </w:r>
    </w:p>
    <w:p>
      <w:pPr>
        <w:pStyle w:val="Normal"/>
        <w:numPr>
          <w:ilvl w:val="0"/>
          <w:numId w:val="9"/>
        </w:numPr>
        <w:spacing w:lineRule="auto" w:line="240" w:beforeAutospacing="1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konfiguracja środowiska chmurowego,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uruchomienie instancji bazy danych Oracle 19c (z mechanizmami archiwizacji),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konfiguracja serwera zarządzającego synchronizacją (MGMT),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instalacja i konfiguracja serwerów aplikacyjnych (asynchronicznych kopii lokalnych),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implementacja polityk backupu oraz harmonogramów testów odzyskiwania danych,</w:t>
      </w:r>
    </w:p>
    <w:p>
      <w:pPr>
        <w:pStyle w:val="Normal"/>
        <w:numPr>
          <w:ilvl w:val="0"/>
          <w:numId w:val="9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wydzielenie bezpiecznych przestrzeni na przechowywanie kopii zapasowych dla systemów HIS, LIS, ERP,</w:t>
      </w:r>
    </w:p>
    <w:p>
      <w:pPr>
        <w:pStyle w:val="Normal"/>
        <w:numPr>
          <w:ilvl w:val="0"/>
          <w:numId w:val="9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uruchomienie w chmurze pełnych środowisk aplikacyjnych (HIS, LIS, ERP) identycznych z lokalnym środowiskiem produkcyjnym, umożliwiających testowanie kopii bezpieczeństwa,</w:t>
      </w:r>
    </w:p>
    <w:p>
      <w:pPr>
        <w:pStyle w:val="Normal"/>
        <w:numPr>
          <w:ilvl w:val="0"/>
          <w:numId w:val="9"/>
        </w:numPr>
        <w:spacing w:lineRule="auto" w:line="240" w:before="0" w:afterAutospacing="1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automatyczne równoległe aktualizowanie środowiska chmurowego wraz ze środowiskiem lokalnym, tak aby obie konfiguracje i wersje modułów były tożsame.</w:t>
      </w:r>
    </w:p>
    <w:p>
      <w:pPr>
        <w:pStyle w:val="ListParagraph"/>
        <w:numPr>
          <w:ilvl w:val="0"/>
          <w:numId w:val="10"/>
        </w:numPr>
        <w:spacing w:lineRule="auto" w:line="240" w:beforeAutospacing="1" w:afterAutospacing="1"/>
        <w:contextualSpacing/>
        <w:outlineLvl w:val="3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 xml:space="preserve">Backup S3 </w:t>
      </w:r>
    </w:p>
    <w:p>
      <w:pPr>
        <w:pStyle w:val="Normal"/>
        <w:numPr>
          <w:ilvl w:val="0"/>
          <w:numId w:val="11"/>
        </w:numPr>
        <w:spacing w:lineRule="auto" w:line="240" w:beforeAutospacing="1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konfiguracja dodatkowego zadania backupowego (job),</w:t>
      </w:r>
    </w:p>
    <w:p>
      <w:pPr>
        <w:pStyle w:val="Normal"/>
        <w:numPr>
          <w:ilvl w:val="0"/>
          <w:numId w:val="11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odseparowane przechowywanie kopii wybranych maszyn wirtualnych w chmurze S3,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zapewnienie minimalnej pojemności 50 TB,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realizacja komunikacji poprzez protokół HTTPS (szyfrowane połączenie),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zabezpieczenie dostępu poprzez sekretny klucz i identyfikator usługi,</w:t>
      </w:r>
    </w:p>
    <w:p>
      <w:pPr>
        <w:pStyle w:val="Normal"/>
        <w:numPr>
          <w:ilvl w:val="0"/>
          <w:numId w:val="11"/>
        </w:numPr>
        <w:spacing w:lineRule="auto" w:line="240" w:before="0" w:afterAutospacing="1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szyfrowanie danych w repozytorium przy użyciu klucza zarządzanego przez usługodawcę lub własnego klucza Zamawiającego.</w:t>
      </w:r>
    </w:p>
    <w:p>
      <w:pPr>
        <w:pStyle w:val="ListParagraph"/>
        <w:numPr>
          <w:ilvl w:val="0"/>
          <w:numId w:val="10"/>
        </w:numPr>
        <w:spacing w:lineRule="auto" w:line="240" w:beforeAutospacing="1" w:afterAutospacing="1"/>
        <w:contextualSpacing/>
        <w:outlineLvl w:val="3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 xml:space="preserve">Repozytorium EDM </w:t>
      </w:r>
    </w:p>
    <w:p>
      <w:pPr>
        <w:pStyle w:val="Normal"/>
        <w:numPr>
          <w:ilvl w:val="0"/>
          <w:numId w:val="11"/>
        </w:numPr>
        <w:spacing w:lineRule="auto" w:line="240" w:beforeAutospacing="1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założenie konta w usłudze,</w:t>
      </w:r>
    </w:p>
    <w:p>
      <w:pPr>
        <w:pStyle w:val="Normal"/>
        <w:numPr>
          <w:ilvl w:val="0"/>
          <w:numId w:val="11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wygenerowanie i zainstalowanie certyfikatów,</w:t>
      </w:r>
    </w:p>
    <w:p>
      <w:pPr>
        <w:pStyle w:val="Normal"/>
        <w:numPr>
          <w:ilvl w:val="0"/>
          <w:numId w:val="11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konfiguracja typów dokumentów do składowania w chmurze,</w:t>
      </w:r>
    </w:p>
    <w:p>
      <w:pPr>
        <w:pStyle w:val="Normal"/>
        <w:numPr>
          <w:ilvl w:val="0"/>
          <w:numId w:val="11"/>
        </w:numPr>
        <w:spacing w:lineRule="auto" w:line="240" w:before="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potwierdzenie składowania i indeksowania dokumentów,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zapewnienie komunikacji z systemem HIS zgodnej ze standardem IHE (zgodnie z wytycznymi dla systemu P1),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możliwość przechowywania pełnej dokumentacji EDM lub wyłącznie tej wymaganej do indeksacji w P1,</w:t>
      </w:r>
    </w:p>
    <w:p>
      <w:pPr>
        <w:pStyle w:val="Normal"/>
        <w:numPr>
          <w:ilvl w:val="0"/>
          <w:numId w:val="11"/>
        </w:numPr>
        <w:spacing w:lineRule="auto" w:line="240" w:before="0"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obsługa dokumentów w standardzie HL7 CDA, w tym Polskiej Implementacji Krajowej (PIK) HL7 CDA,</w:t>
      </w:r>
    </w:p>
    <w:p>
      <w:pPr>
        <w:pStyle w:val="Normal"/>
        <w:numPr>
          <w:ilvl w:val="0"/>
          <w:numId w:val="11"/>
        </w:numPr>
        <w:spacing w:lineRule="auto" w:line="240" w:before="0" w:afterAutospacing="1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objęcie usługi monitoringiem SOC w trybie 24/7/365.</w:t>
      </w:r>
    </w:p>
    <w:p>
      <w:pPr>
        <w:pStyle w:val="Normal"/>
        <w:tabs>
          <w:tab w:val="clear" w:pos="708"/>
          <w:tab w:val="left" w:pos="993" w:leader="none"/>
        </w:tabs>
        <w:rPr>
          <w:highlight w:val="yellow"/>
        </w:rPr>
      </w:pPr>
      <w:r>
        <w:rPr>
          <w:highlight w:val="yellow"/>
        </w:rPr>
      </w:r>
    </w:p>
    <w:p>
      <w:pPr>
        <w:pStyle w:val="Normal"/>
        <w:jc w:val="end"/>
        <w:rPr>
          <w:rFonts w:ascii="Tahoma" w:hAnsi="Tahoma"/>
          <w:sz w:val="21"/>
          <w:szCs w:val="21"/>
        </w:rPr>
      </w:pPr>
      <w:r>
        <w:rPr>
          <w:rFonts w:cs="Tahoma" w:ascii="Tahoma" w:hAnsi="Tahoma"/>
          <w:b w:val="false"/>
          <w:bCs w:val="false"/>
          <w:color w:val="000000"/>
          <w:sz w:val="21"/>
          <w:szCs w:val="21"/>
        </w:rPr>
        <w:t xml:space="preserve">      </w:t>
      </w:r>
      <w:r>
        <w:rPr>
          <w:rFonts w:cs="Tahoma" w:ascii="Tahoma" w:hAnsi="Tahoma"/>
          <w:b w:val="false"/>
          <w:bCs w:val="false"/>
          <w:color w:val="000000"/>
          <w:sz w:val="21"/>
          <w:szCs w:val="21"/>
        </w:rPr>
        <w:t>....................................................................</w:t>
      </w:r>
    </w:p>
    <w:p>
      <w:pPr>
        <w:pStyle w:val="Normal"/>
        <w:spacing w:before="0" w:after="0"/>
        <w:jc w:val="center"/>
        <w:rPr>
          <w:rFonts w:ascii="Tahoma" w:hAnsi="Tahoma"/>
          <w:sz w:val="21"/>
          <w:szCs w:val="21"/>
        </w:rPr>
      </w:pPr>
      <w:r>
        <w:rPr>
          <w:rFonts w:cs="Tahoma" w:ascii="Tahoma" w:hAnsi="Tahoma"/>
          <w:b w:val="false"/>
          <w:bCs w:val="false"/>
          <w:sz w:val="21"/>
          <w:szCs w:val="21"/>
        </w:rPr>
        <w:t xml:space="preserve">                                                                                                                                               </w:t>
      </w:r>
      <w:r>
        <w:rPr>
          <w:rFonts w:cs="Tahoma" w:ascii="Tahoma" w:hAnsi="Tahoma"/>
          <w:b w:val="false"/>
          <w:bCs w:val="false"/>
          <w:sz w:val="16"/>
          <w:szCs w:val="16"/>
        </w:rPr>
        <w:t xml:space="preserve">  </w:t>
      </w:r>
      <w:r>
        <w:rPr>
          <w:rFonts w:cs="Century Gothic" w:ascii="Tahoma" w:hAnsi="Tahoma"/>
          <w:sz w:val="16"/>
          <w:szCs w:val="16"/>
        </w:rPr>
        <w:t>podpis osoby uprawnionej</w:t>
      </w:r>
    </w:p>
    <w:p>
      <w:pPr>
        <w:pStyle w:val="Normal"/>
        <w:spacing w:before="0" w:after="0"/>
        <w:jc w:val="center"/>
        <w:rPr/>
      </w:pPr>
      <w:r>
        <w:rPr>
          <w:rFonts w:eastAsia="Century Gothic" w:cs="Century Gothic" w:ascii="Tahoma" w:hAnsi="Tahoma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cs="Century Gothic" w:ascii="Tahoma" w:hAnsi="Tahoma"/>
          <w:sz w:val="16"/>
          <w:szCs w:val="16"/>
        </w:rPr>
        <w:t>do składania oświadczeń woli w imieniu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8" w:right="1134" w:gutter="0" w:header="1410" w:top="2730" w:footer="86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18915667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Footer"/>
      <w:jc w:val="center"/>
      <w:rPr>
        <w:rStyle w:val="PageNumber"/>
        <w:sz w:val="16"/>
      </w:rPr>
    </w:pPr>
    <w:r>
      <w:rPr>
        <w:sz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18915667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Footer"/>
      <w:jc w:val="center"/>
      <w:rPr>
        <w:rStyle w:val="PageNumber"/>
        <w:sz w:val="16"/>
      </w:rPr>
    </w:pPr>
    <w:r>
      <w:rPr>
        <w:sz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9071610" cy="658495"/>
          <wp:effectExtent l="0" t="0" r="0" b="0"/>
          <wp:docPr id="1" name="Obraz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3" t="-1333" r="-133" b="-1333"/>
                  <a:stretch>
                    <a:fillRect/>
                  </a:stretch>
                </pic:blipFill>
                <pic:spPr bwMode="auto">
                  <a:xfrm>
                    <a:off x="0" y="0"/>
                    <a:ext cx="907161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9071610" cy="658495"/>
          <wp:effectExtent l="0" t="0" r="0" b="0"/>
          <wp:docPr id="2" name="Obraz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3" t="-1333" r="-133" b="-1333"/>
                  <a:stretch>
                    <a:fillRect/>
                  </a:stretch>
                </pic:blipFill>
                <pic:spPr bwMode="auto">
                  <a:xfrm>
                    <a:off x="0" y="0"/>
                    <a:ext cx="907161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§ %1."/>
      <w:lvlJc w:val="start"/>
      <w:pPr>
        <w:tabs>
          <w:tab w:val="num" w:pos="851"/>
        </w:tabs>
        <w:ind w:start="0" w:hanging="0"/>
      </w:pPr>
      <w:rPr>
        <w:sz w:val="22"/>
        <w:i w:val="false"/>
        <w:b/>
        <w:szCs w:val="20"/>
        <w:rFonts w:ascii="Calibri" w:hAnsi="Calibri" w:cs="Times New Roman"/>
      </w:rPr>
    </w:lvl>
    <w:lvl w:ilvl="1">
      <w:start w:val="1"/>
      <w:isLgl/>
      <w:numFmt w:val="decimal"/>
      <w:lvlText w:val="%2."/>
      <w:lvlJc w:val="start"/>
      <w:pPr>
        <w:tabs>
          <w:tab w:val="num" w:pos="0"/>
        </w:tabs>
        <w:ind w:start="567" w:hanging="567"/>
      </w:pPr>
      <w:rPr/>
    </w:lvl>
    <w:lvl w:ilvl="2">
      <w:start w:val="1"/>
      <w:isLgl/>
      <w:numFmt w:val="decimal"/>
      <w:lvlText w:val="%2.%3"/>
      <w:lvlJc w:val="end"/>
      <w:pPr>
        <w:tabs>
          <w:tab w:val="num" w:pos="0"/>
        </w:tabs>
        <w:ind w:start="907" w:hanging="170"/>
      </w:pPr>
      <w:rPr/>
    </w:lvl>
    <w:lvl w:ilvl="3">
      <w:start w:val="1"/>
      <w:numFmt w:val="lowerLetter"/>
      <w:lvlText w:val="%4."/>
      <w:lvlJc w:val="start"/>
      <w:pPr>
        <w:tabs>
          <w:tab w:val="num" w:pos="0"/>
        </w:tabs>
        <w:ind w:start="907" w:hanging="283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1247" w:hanging="283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341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6061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781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501" w:hanging="180"/>
      </w:pPr>
      <w:rPr/>
    </w:lvl>
  </w:abstractNum>
  <w:abstractNum w:abstractNumId="2">
    <w:lvl w:ilvl="0">
      <w:start w:val="1"/>
      <w:numFmt w:val="decimal"/>
      <w:lvlText w:val="%1."/>
      <w:lvlJc w:val="end"/>
      <w:pPr>
        <w:tabs>
          <w:tab w:val="num" w:pos="0"/>
        </w:tabs>
        <w:ind w:start="360" w:hanging="360"/>
      </w:pPr>
      <w:rPr>
        <w:dstrike w:val="false"/>
        <w:strike w:val="false"/>
        <w:b w:val="false"/>
        <w:bCs w:val="false"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 w:val="false"/>
        <w:bCs w:val="false"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>
        <w:i w:val="false"/>
        <w:iCs w:val="false"/>
      </w:rPr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4">
    <w:lvl w:ilvl="0">
      <w:start w:val="1"/>
      <w:numFmt w:val="decimal"/>
      <w:lvlText w:val="%1."/>
      <w:lvlJc w:val="end"/>
      <w:pPr>
        <w:tabs>
          <w:tab w:val="num" w:pos="0"/>
        </w:tabs>
        <w:ind w:start="360" w:hanging="360"/>
      </w:pPr>
      <w:rPr>
        <w:dstrike w:val="false"/>
        <w:strike w:val="false"/>
        <w:b w:val="false"/>
        <w:bCs w:val="false"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3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o"/>
      <w:lvlJc w:val="start"/>
      <w:pPr>
        <w:tabs>
          <w:tab w:val="num" w:pos="0"/>
        </w:tabs>
        <w:ind w:star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 w:val="false"/>
        <w:bCs w:val="false"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>
        <w:i w:val="false"/>
        <w:iCs w:val="false"/>
      </w:rPr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 w:val="false"/>
        <w:bCs w:val="false"/>
        <w:color w:val="auto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>
        <w:i w:val="false"/>
        <w:iCs w:val="false"/>
      </w:rPr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1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c290f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b478bb"/>
    <w:pPr>
      <w:keepNext w:val="true"/>
      <w:keepLines/>
      <w:spacing w:lineRule="auto" w:line="240"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513707"/>
    <w:pPr>
      <w:keepNext w:val="true"/>
      <w:keepLines/>
      <w:spacing w:lineRule="auto" w:line="259" w:before="160" w:after="8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513707"/>
    <w:pPr>
      <w:keepNext w:val="true"/>
      <w:keepLines/>
      <w:spacing w:lineRule="auto" w:line="259" w:before="160" w:after="80"/>
      <w:outlineLvl w:val="2"/>
    </w:pPr>
    <w:rPr>
      <w:rFonts w:eastAsia="" w:cs="" w:cstheme="majorBidi" w:eastAsiaTheme="majorEastAsia"/>
      <w:color w:themeColor="accent1" w:themeShade="bf" w:val="365F91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513707"/>
    <w:pPr>
      <w:keepNext w:val="true"/>
      <w:keepLines/>
      <w:spacing w:lineRule="auto" w:line="259" w:before="80" w:after="40"/>
      <w:outlineLvl w:val="3"/>
    </w:pPr>
    <w:rPr>
      <w:rFonts w:eastAsia="" w:cs="" w:cstheme="majorBidi" w:eastAsiaTheme="majorEastAsia"/>
      <w:i/>
      <w:iCs/>
      <w:color w:themeColor="accent1" w:themeShade="bf" w:val="365F91"/>
      <w:kern w:val="2"/>
      <w14:ligatures w14:val="standardContextual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513707"/>
    <w:pPr>
      <w:keepNext w:val="true"/>
      <w:keepLines/>
      <w:spacing w:lineRule="auto" w:line="259" w:before="80" w:after="40"/>
      <w:outlineLvl w:val="4"/>
    </w:pPr>
    <w:rPr>
      <w:rFonts w:eastAsia="" w:cs="" w:cstheme="majorBidi" w:eastAsiaTheme="majorEastAsia"/>
      <w:color w:themeColor="accent1" w:themeShade="bf" w:val="365F91"/>
      <w:kern w:val="2"/>
      <w14:ligatures w14:val="standardContextual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513707"/>
    <w:pPr>
      <w:keepNext w:val="true"/>
      <w:keepLines/>
      <w:spacing w:lineRule="auto" w:line="259"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  <w:kern w:val="2"/>
      <w14:ligatures w14:val="standardContextual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513707"/>
    <w:pPr>
      <w:keepNext w:val="true"/>
      <w:keepLines/>
      <w:spacing w:lineRule="auto" w:line="259" w:before="40" w:after="0"/>
      <w:outlineLvl w:val="6"/>
    </w:pPr>
    <w:rPr>
      <w:rFonts w:eastAsia="" w:cs="" w:cstheme="majorBidi" w:eastAsiaTheme="majorEastAsia"/>
      <w:color w:themeColor="text1" w:themeTint="a6" w:val="595959"/>
      <w:kern w:val="2"/>
      <w14:ligatures w14:val="standardContextual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513707"/>
    <w:pPr>
      <w:keepNext w:val="true"/>
      <w:keepLines/>
      <w:spacing w:lineRule="auto" w:line="259"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  <w:kern w:val="2"/>
      <w14:ligatures w14:val="standardContextual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513707"/>
    <w:pPr>
      <w:keepNext w:val="true"/>
      <w:keepLines/>
      <w:spacing w:lineRule="auto" w:line="259" w:before="0" w:after="0"/>
      <w:outlineLvl w:val="8"/>
    </w:pPr>
    <w:rPr>
      <w:rFonts w:eastAsia="" w:cs="" w:cstheme="majorBidi" w:eastAsiaTheme="majorEastAsia"/>
      <w:color w:themeColor="text1" w:themeTint="d8" w:val="272727"/>
      <w:kern w:val="2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9c290f"/>
    <w:rPr>
      <w:b/>
      <w:bCs/>
    </w:rPr>
  </w:style>
  <w:style w:type="character" w:styleId="text" w:customStyle="1">
    <w:name w:val="text"/>
    <w:qFormat/>
    <w:rsid w:val="009c290f"/>
    <w:rPr/>
  </w:style>
  <w:style w:type="character" w:styleId="StopkaZnak" w:customStyle="1">
    <w:name w:val="Stopka Znak"/>
    <w:basedOn w:val="DefaultParagraphFont"/>
    <w:uiPriority w:val="99"/>
    <w:qFormat/>
    <w:rsid w:val="00c12b1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NagwekZnak" w:customStyle="1">
    <w:name w:val="Nagłówek Znak"/>
    <w:basedOn w:val="DefaultParagraphFont"/>
    <w:uiPriority w:val="99"/>
    <w:qFormat/>
    <w:rsid w:val="00c12b1e"/>
    <w:rPr>
      <w:rFonts w:ascii="Calibri" w:hAnsi="Calibri" w:eastAsia="Calibri" w:cs="Times New Roman"/>
      <w:sz w:val="24"/>
      <w:szCs w:val="20"/>
      <w:lang w:eastAsia="ar-SA"/>
    </w:rPr>
  </w:style>
  <w:style w:type="character" w:styleId="PageNumber">
    <w:name w:val="page number"/>
    <w:uiPriority w:val="99"/>
    <w:qFormat/>
    <w:rsid w:val="00c12b1e"/>
    <w:rPr>
      <w:rFonts w:cs="Times New Roman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c12b1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ommentReference">
    <w:name w:val="annotation reference"/>
    <w:uiPriority w:val="99"/>
    <w:qFormat/>
    <w:rsid w:val="00c12b1e"/>
    <w:rPr>
      <w:rFonts w:cs="Times New Roman"/>
      <w:sz w:val="16"/>
      <w:szCs w:val="16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12b1e"/>
    <w:rPr>
      <w:rFonts w:ascii="Tahoma" w:hAnsi="Tahoma" w:eastAsia="Calibri" w:cs="Tahoma"/>
      <w:sz w:val="16"/>
      <w:szCs w:val="16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444cf5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TytuZnak" w:customStyle="1">
    <w:name w:val="Tytuł Znak"/>
    <w:basedOn w:val="DefaultParagraphFont"/>
    <w:uiPriority w:val="10"/>
    <w:qFormat/>
    <w:rsid w:val="00694662"/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Hyperlink">
    <w:name w:val="Hyperlink"/>
    <w:rsid w:val="008d3461"/>
    <w:rPr>
      <w:color w:val="0000FF"/>
      <w:u w:val="single"/>
    </w:rPr>
  </w:style>
  <w:style w:type="character" w:styleId="Nagwek1Znak" w:customStyle="1">
    <w:name w:val="Nagłówek 1 Znak"/>
    <w:basedOn w:val="DefaultParagraphFont"/>
    <w:uiPriority w:val="9"/>
    <w:qFormat/>
    <w:rsid w:val="00b478bb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b77eb9"/>
    <w:rPr>
      <w:i/>
      <w:iCs/>
      <w:color w:themeColor="accent1" w:themeShade="bf" w:val="365F91"/>
      <w:kern w:val="2"/>
      <w:sz w:val="22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04556d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ef1cc6"/>
    <w:rPr>
      <w:rFonts w:cs="Times New Roman"/>
      <w:color w:val="00000A"/>
      <w:szCs w:val="20"/>
    </w:rPr>
  </w:style>
  <w:style w:type="character" w:styleId="Znakiprzypiswkocowychuser">
    <w:name w:val="Znaki przypisów końcowych (user)"/>
    <w:uiPriority w:val="99"/>
    <w:semiHidden/>
    <w:unhideWhenUsed/>
    <w:qFormat/>
    <w:rsid w:val="00ef1cc6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1cc6"/>
    <w:rPr>
      <w:rFonts w:cs="Times New Roman"/>
      <w:color w:val="00000A"/>
      <w:szCs w:val="20"/>
    </w:rPr>
  </w:style>
  <w:style w:type="character" w:styleId="Znakiprzypiswdolnychuser">
    <w:name w:val="Znaki przypisów dolnych (user)"/>
    <w:uiPriority w:val="99"/>
    <w:semiHidden/>
    <w:unhideWhenUsed/>
    <w:qFormat/>
    <w:rsid w:val="00ef1cc6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2Znak" w:customStyle="1">
    <w:name w:val="Nagłówek 2 Znak"/>
    <w:basedOn w:val="DefaultParagraphFont"/>
    <w:uiPriority w:val="9"/>
    <w:semiHidden/>
    <w:qFormat/>
    <w:rsid w:val="00513707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2"/>
      <w:sz w:val="32"/>
      <w:szCs w:val="32"/>
      <w14:ligatures w14:val="standardContextual"/>
    </w:rPr>
  </w:style>
  <w:style w:type="character" w:styleId="Nagwek3Znak" w:customStyle="1">
    <w:name w:val="Nagłówek 3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accent1" w:themeShade="bf" w:val="365F91"/>
      <w:kern w:val="2"/>
      <w:sz w:val="28"/>
      <w:szCs w:val="28"/>
      <w14:ligatures w14:val="standardContextual"/>
    </w:rPr>
  </w:style>
  <w:style w:type="character" w:styleId="Nagwek4Znak" w:customStyle="1">
    <w:name w:val="Nagłówek 4 Znak"/>
    <w:basedOn w:val="DefaultParagraphFont"/>
    <w:uiPriority w:val="9"/>
    <w:semiHidden/>
    <w:qFormat/>
    <w:rsid w:val="00513707"/>
    <w:rPr>
      <w:rFonts w:eastAsia="" w:cs="" w:cstheme="majorBidi" w:eastAsiaTheme="majorEastAsia"/>
      <w:i/>
      <w:iCs/>
      <w:color w:themeColor="accent1" w:themeShade="bf" w:val="365F91"/>
      <w:kern w:val="2"/>
      <w:sz w:val="22"/>
      <w14:ligatures w14:val="standardContextual"/>
    </w:rPr>
  </w:style>
  <w:style w:type="character" w:styleId="Nagwek5Znak" w:customStyle="1">
    <w:name w:val="Nagłówek 5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accent1" w:themeShade="bf" w:val="365F91"/>
      <w:kern w:val="2"/>
      <w:sz w:val="22"/>
      <w14:ligatures w14:val="standardContextual"/>
    </w:rPr>
  </w:style>
  <w:style w:type="character" w:styleId="Nagwek6Znak" w:customStyle="1">
    <w:name w:val="Nagłówek 6 Znak"/>
    <w:basedOn w:val="DefaultParagraphFont"/>
    <w:uiPriority w:val="9"/>
    <w:semiHidden/>
    <w:qFormat/>
    <w:rsid w:val="00513707"/>
    <w:rPr>
      <w:rFonts w:eastAsia="" w:cs="" w:cstheme="majorBidi" w:eastAsiaTheme="majorEastAsia"/>
      <w:i/>
      <w:iCs/>
      <w:color w:themeColor="text1" w:themeTint="a6" w:val="595959"/>
      <w:kern w:val="2"/>
      <w:sz w:val="22"/>
      <w14:ligatures w14:val="standardContextual"/>
    </w:rPr>
  </w:style>
  <w:style w:type="character" w:styleId="Nagwek7Znak" w:customStyle="1">
    <w:name w:val="Nagłówek 7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text1" w:themeTint="a6" w:val="595959"/>
      <w:kern w:val="2"/>
      <w:sz w:val="22"/>
      <w14:ligatures w14:val="standardContextual"/>
    </w:rPr>
  </w:style>
  <w:style w:type="character" w:styleId="Nagwek8Znak" w:customStyle="1">
    <w:name w:val="Nagłówek 8 Znak"/>
    <w:basedOn w:val="DefaultParagraphFont"/>
    <w:uiPriority w:val="9"/>
    <w:semiHidden/>
    <w:qFormat/>
    <w:rsid w:val="00513707"/>
    <w:rPr>
      <w:rFonts w:eastAsia="" w:cs="" w:cstheme="majorBidi" w:eastAsiaTheme="majorEastAsia"/>
      <w:i/>
      <w:iCs/>
      <w:color w:themeColor="text1" w:themeTint="d8" w:val="272727"/>
      <w:kern w:val="2"/>
      <w:sz w:val="22"/>
      <w14:ligatures w14:val="standardContextual"/>
    </w:rPr>
  </w:style>
  <w:style w:type="character" w:styleId="Nagwek9Znak" w:customStyle="1">
    <w:name w:val="Nagłówek 9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text1" w:themeTint="d8" w:val="272727"/>
      <w:kern w:val="2"/>
      <w:sz w:val="22"/>
      <w14:ligatures w14:val="standardContextual"/>
    </w:rPr>
  </w:style>
  <w:style w:type="character" w:styleId="PodtytuZnak" w:customStyle="1">
    <w:name w:val="Podtytuł Znak"/>
    <w:basedOn w:val="DefaultParagraphFont"/>
    <w:uiPriority w:val="11"/>
    <w:qFormat/>
    <w:rsid w:val="00513707"/>
    <w:rPr>
      <w:rFonts w:eastAsia="" w:cs="" w:cstheme="majorBidi" w:eastAsiaTheme="majorEastAsia"/>
      <w:color w:themeColor="text1" w:themeTint="a6" w:val="595959"/>
      <w:spacing w:val="15"/>
      <w:kern w:val="2"/>
      <w:sz w:val="28"/>
      <w:szCs w:val="28"/>
      <w14:ligatures w14:val="standardContextual"/>
    </w:rPr>
  </w:style>
  <w:style w:type="character" w:styleId="CytatZnak" w:customStyle="1">
    <w:name w:val="Cytat Znak"/>
    <w:basedOn w:val="DefaultParagraphFont"/>
    <w:link w:val="Quote"/>
    <w:uiPriority w:val="29"/>
    <w:qFormat/>
    <w:rsid w:val="00513707"/>
    <w:rPr>
      <w:i/>
      <w:iCs/>
      <w:color w:themeColor="text1" w:themeTint="bf" w:val="404040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3707"/>
    <w:rPr>
      <w:i/>
      <w:iCs/>
      <w:color w:themeColor="accent1" w:themeShade="bf" w:val="365F91"/>
    </w:rPr>
  </w:style>
  <w:style w:type="character" w:styleId="IntenseReference">
    <w:name w:val="Intense Reference"/>
    <w:basedOn w:val="DefaultParagraphFont"/>
    <w:uiPriority w:val="32"/>
    <w:qFormat/>
    <w:rsid w:val="00513707"/>
    <w:rPr>
      <w:b/>
      <w:bCs/>
      <w:smallCaps/>
      <w:color w:themeColor="accent1" w:themeShade="bf" w:val="365F91"/>
      <w:spacing w:val="5"/>
    </w:rPr>
  </w:style>
  <w:style w:type="character" w:styleId="AkapitzlistZnak" w:customStyle="1">
    <w:name w:val="Akapit z listą Znak"/>
    <w:link w:val="ListParagraph"/>
    <w:uiPriority w:val="34"/>
    <w:qFormat/>
    <w:locked/>
    <w:rsid w:val="00513707"/>
    <w:rPr>
      <w:rFonts w:cs="Times New Roman"/>
      <w:color w:val="00000A"/>
      <w:sz w:val="22"/>
    </w:rPr>
  </w:style>
  <w:style w:type="character" w:styleId="normaltextrun" w:customStyle="1">
    <w:name w:val="normaltextrun"/>
    <w:basedOn w:val="DefaultParagraphFont"/>
    <w:qFormat/>
    <w:rsid w:val="00513707"/>
    <w:rPr/>
  </w:style>
  <w:style w:type="character" w:styleId="eop" w:customStyle="1">
    <w:name w:val="eop"/>
    <w:basedOn w:val="DefaultParagraphFont"/>
    <w:qFormat/>
    <w:rsid w:val="00513707"/>
    <w:rPr/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rsid w:val="00075954"/>
    <w:pPr/>
    <w:rPr>
      <w:rFonts w:cs="Lucida Sans"/>
    </w:rPr>
  </w:style>
  <w:style w:type="paragraph" w:styleId="Caption">
    <w:name w:val="caption"/>
    <w:basedOn w:val="Normal"/>
    <w:qFormat/>
    <w:rsid w:val="0007595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TextBody"/>
    <w:qFormat/>
    <w:rsid w:val="00075954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rsid w:val="00075954"/>
    <w:pPr>
      <w:suppressLineNumbers/>
    </w:pPr>
    <w:rPr>
      <w:rFonts w:cs="Lucida Sans"/>
    </w:rPr>
  </w:style>
  <w:style w:type="paragraph" w:styleId="TextBody" w:customStyle="1">
    <w:name w:val="Text Body"/>
    <w:basedOn w:val="Normal"/>
    <w:qFormat/>
    <w:rsid w:val="00075954"/>
    <w:pPr>
      <w:spacing w:lineRule="auto" w:line="288" w:before="0" w:after="140"/>
    </w:pPr>
    <w:rPr/>
  </w:style>
  <w:style w:type="paragraph" w:styleId="NormalWeb">
    <w:name w:val="Normal (Web)"/>
    <w:basedOn w:val="Normal"/>
    <w:uiPriority w:val="99"/>
    <w:unhideWhenUsed/>
    <w:qFormat/>
    <w:rsid w:val="009c290f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c12b1e"/>
    <w:pPr>
      <w:suppressAutoHyphens w:val="tru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Header">
    <w:name w:val="header"/>
    <w:basedOn w:val="Normal"/>
    <w:link w:val="NagwekZnak"/>
    <w:uiPriority w:val="99"/>
    <w:rsid w:val="00c12b1e"/>
    <w:pPr>
      <w:suppressAutoHyphens w:val="true"/>
      <w:spacing w:lineRule="auto" w:line="240" w:before="0" w:after="0"/>
    </w:pPr>
    <w:rPr>
      <w:sz w:val="24"/>
      <w:szCs w:val="20"/>
      <w:lang w:eastAsia="ar-SA"/>
    </w:rPr>
  </w:style>
  <w:style w:type="paragraph" w:styleId="CommentText">
    <w:name w:val="annotation text"/>
    <w:basedOn w:val="Normal"/>
    <w:link w:val="TekstkomentarzaZnak"/>
    <w:uiPriority w:val="99"/>
    <w:qFormat/>
    <w:rsid w:val="00c12b1e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12b1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444cf5"/>
    <w:pPr>
      <w:spacing w:before="0" w:after="200"/>
    </w:pPr>
    <w:rPr>
      <w:rFonts w:ascii="Calibri" w:hAnsi="Calibri" w:eastAsia="Calibri" w:asciiTheme="minorHAnsi" w:eastAsiaTheme="minorHAnsi" w:hAnsiTheme="minorHAnsi"/>
      <w:b/>
      <w:bCs/>
      <w:lang w:eastAsia="en-US"/>
    </w:rPr>
  </w:style>
  <w:style w:type="paragraph" w:styleId="ListParagraph">
    <w:name w:val="List Paragraph"/>
    <w:basedOn w:val="Normal"/>
    <w:link w:val="AkapitzlistZnak"/>
    <w:uiPriority w:val="34"/>
    <w:qFormat/>
    <w:rsid w:val="0089118f"/>
    <w:pPr>
      <w:spacing w:before="0" w:after="200"/>
      <w:ind w:start="720"/>
      <w:contextualSpacing/>
    </w:pPr>
    <w:rPr/>
  </w:style>
  <w:style w:type="paragraph" w:styleId="Revision">
    <w:name w:val="Revision"/>
    <w:uiPriority w:val="99"/>
    <w:semiHidden/>
    <w:qFormat/>
    <w:rsid w:val="00c5341e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694662"/>
    <w:pPr>
      <w:spacing w:lineRule="auto" w:line="240" w:before="0" w:after="0"/>
      <w:contextualSpacing/>
    </w:pPr>
    <w:rPr>
      <w:rFonts w:ascii="Cambria" w:hAnsi="Cambria" w:eastAsia="" w:cs="" w:asciiTheme="majorHAnsi" w:cstheme="majorBidi" w:eastAsiaTheme="majorEastAsia" w:hAnsiTheme="majorHAnsi"/>
      <w:color w:val="auto"/>
      <w:spacing w:val="-10"/>
      <w:kern w:val="2"/>
      <w:sz w:val="56"/>
      <w:szCs w:val="56"/>
    </w:rPr>
  </w:style>
  <w:style w:type="paragraph" w:styleId="Default" w:customStyle="1">
    <w:name w:val="Default"/>
    <w:uiPriority w:val="99"/>
    <w:qFormat/>
    <w:rsid w:val="00b62d33"/>
    <w:pPr>
      <w:widowControl/>
      <w:suppressAutoHyphens w:val="true"/>
      <w:bidi w:val="0"/>
      <w:spacing w:lineRule="auto" w:line="240" w:before="0" w:after="0"/>
      <w:jc w:val="start"/>
      <w:textAlignment w:val="baseline"/>
    </w:pPr>
    <w:rPr>
      <w:rFonts w:ascii="Arial" w:hAnsi="Arial" w:eastAsia="Times New Roman" w:cs="Arial"/>
      <w:color w:val="000000"/>
      <w:kern w:val="2"/>
      <w:sz w:val="24"/>
      <w:szCs w:val="24"/>
      <w:lang w:val="pl-PL" w:eastAsia="zh-CN" w:bidi="hi-IN"/>
    </w:rPr>
  </w:style>
  <w:style w:type="paragraph" w:styleId="ACPTrerozdziau1" w:customStyle="1">
    <w:name w:val="ACP.Treść rozdziału 1"/>
    <w:basedOn w:val="Normal"/>
    <w:uiPriority w:val="1"/>
    <w:qFormat/>
    <w:rsid w:val="00b478bb"/>
    <w:pPr>
      <w:numPr>
        <w:ilvl w:val="1"/>
        <w:numId w:val="1"/>
      </w:numPr>
      <w:spacing w:lineRule="auto" w:line="240" w:before="0" w:after="60"/>
      <w:jc w:val="both"/>
    </w:pPr>
    <w:rPr>
      <w:rFonts w:ascii="Calibri" w:hAnsi="Calibri" w:eastAsia="" w:cs="" w:cstheme="minorBidi" w:eastAsiaTheme="minorEastAsia"/>
      <w:color w:val="auto"/>
      <w:lang w:eastAsia="pl-PL"/>
    </w:rPr>
  </w:style>
  <w:style w:type="paragraph" w:styleId="ACPTrerozdziau2" w:customStyle="1">
    <w:name w:val="ACP.Treść rozdziału 2"/>
    <w:basedOn w:val="Normal"/>
    <w:uiPriority w:val="2"/>
    <w:qFormat/>
    <w:rsid w:val="00b478bb"/>
    <w:pPr>
      <w:numPr>
        <w:ilvl w:val="2"/>
        <w:numId w:val="1"/>
      </w:numPr>
      <w:spacing w:lineRule="auto" w:line="240" w:before="0" w:after="60"/>
      <w:jc w:val="both"/>
    </w:pPr>
    <w:rPr>
      <w:rFonts w:ascii="Calibri" w:hAnsi="Calibri" w:eastAsia="" w:cs="" w:cstheme="minorBidi" w:eastAsiaTheme="minorEastAsia"/>
      <w:color w:val="auto"/>
      <w:lang w:eastAsia="pl-PL"/>
    </w:rPr>
  </w:style>
  <w:style w:type="paragraph" w:styleId="ACPListaabc-poziom1" w:customStyle="1">
    <w:name w:val="ACP.Lista abc - poziom 1"/>
    <w:basedOn w:val="Normal"/>
    <w:uiPriority w:val="3"/>
    <w:qFormat/>
    <w:rsid w:val="00b478bb"/>
    <w:pPr>
      <w:numPr>
        <w:ilvl w:val="3"/>
        <w:numId w:val="1"/>
      </w:numPr>
      <w:spacing w:lineRule="auto" w:line="240" w:before="0" w:after="60"/>
      <w:jc w:val="both"/>
    </w:pPr>
    <w:rPr>
      <w:rFonts w:ascii="Calibri" w:hAnsi="Calibri" w:eastAsia="" w:cs="" w:cstheme="minorBidi" w:eastAsiaTheme="minorEastAsia"/>
      <w:color w:val="auto"/>
      <w:lang w:eastAsia="pl-PL"/>
    </w:rPr>
  </w:style>
  <w:style w:type="paragraph" w:styleId="ACPListaabc-poziom2" w:customStyle="1">
    <w:name w:val="ACP.Lista abc - poziom 2"/>
    <w:basedOn w:val="Normal"/>
    <w:uiPriority w:val="4"/>
    <w:qFormat/>
    <w:rsid w:val="00b478bb"/>
    <w:pPr>
      <w:numPr>
        <w:ilvl w:val="4"/>
        <w:numId w:val="1"/>
      </w:numPr>
      <w:spacing w:lineRule="auto" w:line="240" w:before="0" w:after="60"/>
      <w:jc w:val="both"/>
    </w:pPr>
    <w:rPr>
      <w:rFonts w:ascii="Calibri" w:hAnsi="Calibri" w:eastAsia="" w:cs="" w:cstheme="minorBidi" w:eastAsiaTheme="minorEastAsia"/>
      <w:color w:val="auto"/>
      <w:lang w:eastAsia="pl-PL"/>
    </w:rPr>
  </w:style>
  <w:style w:type="paragraph" w:styleId="ACPTyturozdziau" w:customStyle="1">
    <w:name w:val="ACP.Tytuł rozdziału"/>
    <w:basedOn w:val="Normal"/>
    <w:next w:val="ACPTrerozdziau1"/>
    <w:qFormat/>
    <w:rsid w:val="00b478bb"/>
    <w:pPr>
      <w:keepNext w:val="true"/>
      <w:numPr>
        <w:ilvl w:val="0"/>
        <w:numId w:val="1"/>
      </w:numPr>
      <w:spacing w:lineRule="auto" w:line="240" w:before="200" w:after="200"/>
    </w:pPr>
    <w:rPr>
      <w:rFonts w:ascii="Calibri" w:hAnsi="Calibri" w:eastAsia="" w:cs="" w:cstheme="minorBidi" w:eastAsiaTheme="minorEastAsia"/>
      <w:b/>
      <w:bCs/>
      <w:caps/>
      <w:color w:themeColor="text1" w:val="000000"/>
      <w:lang w:eastAsia="pl-PL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b77eb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lineRule="auto" w:line="259" w:before="360" w:after="360"/>
      <w:ind w:start="864" w:end="864"/>
      <w:jc w:val="center"/>
    </w:pPr>
    <w:rPr>
      <w:rFonts w:cs="" w:cstheme="minorBidi"/>
      <w:i/>
      <w:iCs/>
      <w:color w:themeColor="accent1" w:themeShade="bf" w:val="365F91"/>
      <w:kern w:val="2"/>
      <w14:ligatures w14:val="standardContextual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ef1cc6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1cc6"/>
    <w:pPr>
      <w:spacing w:lineRule="auto" w:line="240" w:before="0" w:after="0"/>
    </w:pPr>
    <w:rPr>
      <w:sz w:val="20"/>
      <w:szCs w:val="20"/>
    </w:rPr>
  </w:style>
  <w:style w:type="paragraph" w:styleId="Subtitle">
    <w:name w:val="Subtitle"/>
    <w:basedOn w:val="Normal"/>
    <w:next w:val="Normal"/>
    <w:link w:val="PodtytuZnak"/>
    <w:uiPriority w:val="11"/>
    <w:qFormat/>
    <w:rsid w:val="00513707"/>
    <w:pPr>
      <w:spacing w:lineRule="auto" w:line="259" w:before="0" w:after="160"/>
    </w:pPr>
    <w:rPr>
      <w:rFonts w:eastAsia="" w:cs="" w:cstheme="majorBidi" w:eastAsiaTheme="majorEastAsia"/>
      <w:color w:themeColor="text1" w:themeTint="a6" w:val="595959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CytatZnak"/>
    <w:uiPriority w:val="29"/>
    <w:qFormat/>
    <w:rsid w:val="00513707"/>
    <w:pPr>
      <w:spacing w:lineRule="auto" w:line="259" w:before="160" w:after="160"/>
      <w:jc w:val="center"/>
    </w:pPr>
    <w:rPr>
      <w:rFonts w:cs="" w:cstheme="minorBidi"/>
      <w:i/>
      <w:iCs/>
      <w:color w:themeColor="text1" w:themeTint="bf" w:val="404040"/>
      <w:kern w:val="2"/>
      <w14:ligatures w14:val="standardContextual"/>
    </w:rPr>
  </w:style>
  <w:style w:type="paragraph" w:styleId="NoSpacing">
    <w:name w:val="No Spacing"/>
    <w:uiPriority w:val="1"/>
    <w:qFormat/>
    <w:rsid w:val="00513707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Arial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12b1e"/>
    <w:pPr>
      <w:spacing w:line="240" w:lineRule="auto"/>
    </w:pPr>
    <w:rPr>
      <w:lang w:eastAsia="pl-PL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90A8F65A330A4E89A6582DB5636093" ma:contentTypeVersion="11" ma:contentTypeDescription="Utwórz nowy dokument." ma:contentTypeScope="" ma:versionID="d5e531ab9ddaadfe6faa110e5ef2a86f">
  <xsd:schema xmlns:xsd="http://www.w3.org/2001/XMLSchema" xmlns:xs="http://www.w3.org/2001/XMLSchema" xmlns:p="http://schemas.microsoft.com/office/2006/metadata/properties" xmlns:ns2="e598b026-b4ff-42f7-9764-2ef0e9e40f3c" xmlns:ns3="5a8a969c-b5cf-46f5-8048-2f322d008edb" targetNamespace="http://schemas.microsoft.com/office/2006/metadata/properties" ma:root="true" ma:fieldsID="b98fe6998e8c6d4a26122746cabbbc24" ns2:_="" ns3:_="">
    <xsd:import namespace="e598b026-b4ff-42f7-9764-2ef0e9e40f3c"/>
    <xsd:import namespace="5a8a969c-b5cf-46f5-8048-2f322d008e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8b026-b4ff-42f7-9764-2ef0e9e40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492386f8-c9a8-4063-b817-4d0b25ae35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a969c-b5cf-46f5-8048-2f322d008ed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74dcba1-fd98-43f6-b4a3-9afe0c4f47e3}" ma:internalName="TaxCatchAll" ma:showField="CatchAllData" ma:web="5a8a969c-b5cf-46f5-8048-2f322d008e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98b026-b4ff-42f7-9764-2ef0e9e40f3c">
      <Terms xmlns="http://schemas.microsoft.com/office/infopath/2007/PartnerControls"/>
    </lcf76f155ced4ddcb4097134ff3c332f>
    <TaxCatchAll xmlns="5a8a969c-b5cf-46f5-8048-2f322d008edb" xsi:nil="true"/>
  </documentManagement>
</p:properties>
</file>

<file path=customXml/itemProps1.xml><?xml version="1.0" encoding="utf-8"?>
<ds:datastoreItem xmlns:ds="http://schemas.openxmlformats.org/officeDocument/2006/customXml" ds:itemID="{A4B40ABA-9B09-4CF0-AAAB-7BD4E0B82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E68E8D-BC60-43C9-B2C3-06A8B4030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8b026-b4ff-42f7-9764-2ef0e9e40f3c"/>
    <ds:schemaRef ds:uri="5a8a969c-b5cf-46f5-8048-2f322d008e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A3A2D-9E29-4816-B416-599ED440EA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3570B9-F212-4F31-BD0F-3F4D4C4AD40F}">
  <ds:schemaRefs>
    <ds:schemaRef ds:uri="http://schemas.microsoft.com/office/2006/metadata/properties"/>
    <ds:schemaRef ds:uri="http://schemas.microsoft.com/office/infopath/2007/PartnerControls"/>
    <ds:schemaRef ds:uri="e598b026-b4ff-42f7-9764-2ef0e9e40f3c"/>
    <ds:schemaRef ds:uri="5a8a969c-b5cf-46f5-8048-2f322d008e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Application>LibreOffice/25.8.3.2$Windows_X86_64 LibreOffice_project/8ca8d55c161d602844f5428fa4b58097424e324e</Application>
  <AppVersion>15.0000</AppVersion>
  <Pages>10</Pages>
  <Words>1778</Words>
  <Characters>12633</Characters>
  <CharactersWithSpaces>15071</CharactersWithSpaces>
  <Paragraphs>163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2025-10-28T04:21:00Z</dcterms:created>
  <dc:creator>JiA</dc:creator>
  <dc:description/>
  <dc:language>pl-PL</dc:language>
  <cp:lastModifiedBy/>
  <cp:lastPrinted>2025-07-22T16:56:00Z</cp:lastPrinted>
  <dcterms:modified xsi:type="dcterms:W3CDTF">2026-02-03T10:51:49Z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0x0101007290A8F65A330A4E89A6582DB5636093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MediaServiceImageTags">
    <vt:lpwstr/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